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3F9BC2" w14:textId="58D921C1" w:rsidR="00197F1B" w:rsidRPr="00063E21" w:rsidRDefault="5699671A" w:rsidP="30CA77F3">
      <w:pPr>
        <w:tabs>
          <w:tab w:val="left" w:pos="480"/>
        </w:tabs>
        <w:spacing w:before="60" w:after="60"/>
        <w:jc w:val="center"/>
        <w:rPr>
          <w:rFonts w:ascii="Arial" w:hAnsi="Arial" w:cs="Arial"/>
          <w:b/>
          <w:bCs/>
          <w:i/>
          <w:iCs/>
          <w:color w:val="FF0000"/>
          <w:u w:val="single"/>
        </w:rPr>
      </w:pPr>
      <w:r w:rsidRPr="30CA77F3">
        <w:rPr>
          <w:rFonts w:ascii="Arial" w:hAnsi="Arial" w:cs="Arial"/>
          <w:b/>
          <w:bCs/>
        </w:rPr>
        <w:t>PASIŪLYMŲ EKONOMINIO NAUDINGUMO VERTINIMO METODIKA</w:t>
      </w:r>
    </w:p>
    <w:p w14:paraId="4F472968" w14:textId="77777777" w:rsidR="00197F1B" w:rsidRPr="00063E21" w:rsidRDefault="00197F1B" w:rsidP="00197F1B">
      <w:pPr>
        <w:tabs>
          <w:tab w:val="left" w:pos="480"/>
        </w:tabs>
        <w:spacing w:before="60" w:after="60"/>
        <w:rPr>
          <w:rFonts w:ascii="Arial" w:hAnsi="Arial" w:cs="Arial"/>
        </w:rPr>
      </w:pPr>
    </w:p>
    <w:p w14:paraId="0E3F109B" w14:textId="2A7FB225" w:rsidR="00197F1B" w:rsidRPr="00063E21" w:rsidRDefault="00197F1B" w:rsidP="004A74D7">
      <w:pPr>
        <w:numPr>
          <w:ilvl w:val="0"/>
          <w:numId w:val="1"/>
        </w:numPr>
        <w:spacing w:before="60" w:after="60" w:line="240" w:lineRule="auto"/>
        <w:ind w:left="284" w:hanging="284"/>
        <w:jc w:val="both"/>
        <w:rPr>
          <w:rFonts w:ascii="Arial" w:hAnsi="Arial" w:cs="Arial"/>
        </w:rPr>
      </w:pPr>
      <w:r w:rsidRPr="00063E21">
        <w:rPr>
          <w:rFonts w:ascii="Arial" w:hAnsi="Arial" w:cs="Arial"/>
        </w:rPr>
        <w:t>Šiame Priede pateikiami ekonomiškai naudingiausio Pasiūlymo vertinimo kriterijai, jų parametrai, lyginamieji svoriai, formulės, pagal kurias bus skaičiuojamas pasiūlymų ekonominis naudingumas, ekspertinio vertinimo metodikos aprašymas.</w:t>
      </w:r>
    </w:p>
    <w:p w14:paraId="246CCBDF" w14:textId="77777777" w:rsidR="00197F1B" w:rsidRPr="00063E21" w:rsidRDefault="00197F1B" w:rsidP="004A74D7">
      <w:pPr>
        <w:spacing w:before="120" w:after="60" w:line="240" w:lineRule="auto"/>
        <w:jc w:val="right"/>
        <w:rPr>
          <w:rFonts w:ascii="Arial" w:hAnsi="Arial" w:cs="Arial"/>
          <w:i/>
        </w:rPr>
      </w:pPr>
      <w:r w:rsidRPr="00063E21">
        <w:rPr>
          <w:rFonts w:ascii="Arial" w:hAnsi="Arial" w:cs="Arial"/>
          <w:i/>
        </w:rPr>
        <w:t>1 Lentelė. Pasiūlymų vertinimo kriterijai ir lyginamieji svoriai</w:t>
      </w:r>
    </w:p>
    <w:tbl>
      <w:tblPr>
        <w:tblW w:w="10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40"/>
        <w:gridCol w:w="2619"/>
      </w:tblGrid>
      <w:tr w:rsidR="00247621" w:rsidRPr="00063E21" w14:paraId="71382809" w14:textId="77777777" w:rsidTr="30CA77F3">
        <w:trPr>
          <w:cantSplit/>
          <w:trHeight w:val="613"/>
        </w:trPr>
        <w:tc>
          <w:tcPr>
            <w:tcW w:w="7440"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14:paraId="7CD60160" w14:textId="77777777" w:rsidR="00247621" w:rsidRPr="00063E21" w:rsidRDefault="00247621" w:rsidP="00BC79EC">
            <w:pPr>
              <w:spacing w:after="60" w:line="240" w:lineRule="auto"/>
              <w:ind w:left="-108" w:right="-108"/>
              <w:jc w:val="center"/>
              <w:rPr>
                <w:rFonts w:ascii="Arial" w:hAnsi="Arial" w:cs="Arial"/>
                <w:b/>
                <w:bCs/>
                <w:color w:val="000000"/>
              </w:rPr>
            </w:pPr>
            <w:r w:rsidRPr="00063E21">
              <w:rPr>
                <w:rFonts w:ascii="Arial" w:hAnsi="Arial" w:cs="Arial"/>
                <w:b/>
                <w:bCs/>
              </w:rPr>
              <w:t>Vertinimo kriterijai ir parametrai</w:t>
            </w:r>
          </w:p>
        </w:tc>
        <w:tc>
          <w:tcPr>
            <w:tcW w:w="2619"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14:paraId="4547DEB9" w14:textId="77777777" w:rsidR="00247621" w:rsidRPr="00063E21" w:rsidRDefault="00247621" w:rsidP="00BC79EC">
            <w:pPr>
              <w:spacing w:after="60" w:line="240" w:lineRule="auto"/>
              <w:ind w:left="-108" w:right="-108"/>
              <w:jc w:val="center"/>
              <w:rPr>
                <w:rFonts w:ascii="Arial" w:hAnsi="Arial" w:cs="Arial"/>
                <w:b/>
                <w:bCs/>
              </w:rPr>
            </w:pPr>
            <w:r w:rsidRPr="00063E21">
              <w:rPr>
                <w:rFonts w:ascii="Arial" w:hAnsi="Arial" w:cs="Arial"/>
                <w:b/>
                <w:bCs/>
                <w:color w:val="000000"/>
              </w:rPr>
              <w:t>Lyginamasis svoris ekonominio naudingumo įvertinime</w:t>
            </w:r>
          </w:p>
        </w:tc>
      </w:tr>
      <w:tr w:rsidR="00247621" w:rsidRPr="00063E21" w14:paraId="035626A1" w14:textId="77777777" w:rsidTr="30CA77F3">
        <w:trPr>
          <w:cantSplit/>
          <w:trHeight w:val="557"/>
        </w:trPr>
        <w:tc>
          <w:tcPr>
            <w:tcW w:w="7440" w:type="dxa"/>
            <w:tcBorders>
              <w:top w:val="single" w:sz="4" w:space="0" w:color="auto"/>
              <w:left w:val="single" w:sz="4" w:space="0" w:color="auto"/>
              <w:bottom w:val="single" w:sz="4" w:space="0" w:color="auto"/>
              <w:right w:val="single" w:sz="4" w:space="0" w:color="auto"/>
            </w:tcBorders>
            <w:vAlign w:val="center"/>
            <w:hideMark/>
          </w:tcPr>
          <w:p w14:paraId="1264D064" w14:textId="405D52BC" w:rsidR="00247621" w:rsidRPr="00063E21" w:rsidRDefault="00247621" w:rsidP="00CD7C57">
            <w:pPr>
              <w:spacing w:before="60" w:after="60" w:line="276" w:lineRule="auto"/>
              <w:jc w:val="center"/>
              <w:rPr>
                <w:rFonts w:ascii="Arial" w:hAnsi="Arial" w:cs="Arial"/>
                <w:b/>
              </w:rPr>
            </w:pPr>
            <w:r w:rsidRPr="00063E21">
              <w:rPr>
                <w:rFonts w:ascii="Arial" w:hAnsi="Arial" w:cs="Arial"/>
                <w:b/>
              </w:rPr>
              <w:t xml:space="preserve">I kriterijus – Kaina </w:t>
            </w:r>
            <w:r w:rsidRPr="00063E21">
              <w:rPr>
                <w:rFonts w:ascii="Arial" w:hAnsi="Arial" w:cs="Arial"/>
                <w:b/>
                <w:i/>
              </w:rPr>
              <w:t>(</w:t>
            </w:r>
            <w:r w:rsidR="002C0038">
              <w:rPr>
                <w:rFonts w:ascii="Arial" w:hAnsi="Arial" w:cs="Arial"/>
                <w:b/>
                <w:i/>
              </w:rPr>
              <w:t>C</w:t>
            </w:r>
            <w:r w:rsidRPr="00063E21">
              <w:rPr>
                <w:rFonts w:ascii="Arial" w:hAnsi="Arial" w:cs="Arial"/>
                <w:b/>
                <w:i/>
              </w:rPr>
              <w:t>)</w:t>
            </w:r>
          </w:p>
        </w:tc>
        <w:tc>
          <w:tcPr>
            <w:tcW w:w="2619" w:type="dxa"/>
            <w:tcBorders>
              <w:top w:val="single" w:sz="4" w:space="0" w:color="auto"/>
              <w:left w:val="single" w:sz="4" w:space="0" w:color="auto"/>
              <w:bottom w:val="single" w:sz="4" w:space="0" w:color="auto"/>
              <w:right w:val="single" w:sz="4" w:space="0" w:color="auto"/>
            </w:tcBorders>
            <w:vAlign w:val="center"/>
            <w:hideMark/>
          </w:tcPr>
          <w:p w14:paraId="21137AAE" w14:textId="1A886712" w:rsidR="00247621" w:rsidRPr="00063E21" w:rsidRDefault="00EA353E" w:rsidP="00CD7C57">
            <w:pPr>
              <w:spacing w:before="60" w:after="60" w:line="276" w:lineRule="auto"/>
              <w:jc w:val="center"/>
              <w:rPr>
                <w:rFonts w:ascii="Arial" w:hAnsi="Arial" w:cs="Arial"/>
                <w:b/>
                <w:bCs/>
              </w:rPr>
            </w:pPr>
            <w:r w:rsidRPr="00063E21">
              <w:rPr>
                <w:rFonts w:ascii="Arial" w:hAnsi="Arial" w:cs="Arial"/>
                <w:b/>
                <w:bCs/>
              </w:rPr>
              <w:t>X</w:t>
            </w:r>
            <w:r w:rsidRPr="00063E21">
              <w:rPr>
                <w:rFonts w:ascii="Arial" w:hAnsi="Arial" w:cs="Arial"/>
                <w:b/>
                <w:bCs/>
                <w:lang w:val="en-US"/>
              </w:rPr>
              <w:t>=</w:t>
            </w:r>
            <w:r w:rsidR="00256F61" w:rsidRPr="00063E21">
              <w:rPr>
                <w:rFonts w:ascii="Arial" w:hAnsi="Arial" w:cs="Arial"/>
                <w:b/>
                <w:bCs/>
                <w:lang w:val="en-US"/>
              </w:rPr>
              <w:t>9</w:t>
            </w:r>
            <w:r w:rsidR="00063E21" w:rsidRPr="00063E21">
              <w:rPr>
                <w:rFonts w:ascii="Arial" w:hAnsi="Arial" w:cs="Arial"/>
                <w:b/>
                <w:bCs/>
                <w:lang w:val="en-US"/>
              </w:rPr>
              <w:t>5</w:t>
            </w:r>
          </w:p>
        </w:tc>
      </w:tr>
      <w:tr w:rsidR="00247621" w:rsidRPr="00063E21" w14:paraId="3C69C12B" w14:textId="77777777" w:rsidTr="30CA77F3">
        <w:trPr>
          <w:cantSplit/>
          <w:trHeight w:val="583"/>
        </w:trPr>
        <w:tc>
          <w:tcPr>
            <w:tcW w:w="7440" w:type="dxa"/>
            <w:tcBorders>
              <w:top w:val="single" w:sz="4" w:space="0" w:color="auto"/>
              <w:left w:val="single" w:sz="4" w:space="0" w:color="auto"/>
              <w:bottom w:val="single" w:sz="4" w:space="0" w:color="auto"/>
              <w:right w:val="single" w:sz="4" w:space="0" w:color="auto"/>
            </w:tcBorders>
            <w:vAlign w:val="center"/>
            <w:hideMark/>
          </w:tcPr>
          <w:p w14:paraId="0D792B5C" w14:textId="013EEA8E" w:rsidR="00247621" w:rsidRPr="00063E21" w:rsidRDefault="3CD0D46B" w:rsidP="30CA77F3">
            <w:pPr>
              <w:spacing w:before="60" w:after="60" w:line="276" w:lineRule="auto"/>
              <w:jc w:val="center"/>
            </w:pPr>
            <w:r w:rsidRPr="30CA77F3">
              <w:rPr>
                <w:rFonts w:ascii="Arial" w:hAnsi="Arial" w:cs="Arial"/>
                <w:b/>
                <w:bCs/>
              </w:rPr>
              <w:t>II kriterijus</w:t>
            </w:r>
            <w:r w:rsidR="1B84DF01" w:rsidRPr="30CA77F3">
              <w:rPr>
                <w:rFonts w:ascii="Arial" w:hAnsi="Arial" w:cs="Arial"/>
                <w:b/>
                <w:bCs/>
              </w:rPr>
              <w:t xml:space="preserve"> </w:t>
            </w:r>
            <w:r w:rsidRPr="30CA77F3">
              <w:rPr>
                <w:rFonts w:ascii="Arial" w:hAnsi="Arial" w:cs="Arial"/>
                <w:b/>
                <w:bCs/>
              </w:rPr>
              <w:t xml:space="preserve">– </w:t>
            </w:r>
          </w:p>
          <w:p w14:paraId="45EF0A11" w14:textId="64BA263E" w:rsidR="00247621" w:rsidRPr="00063E21" w:rsidRDefault="7FE45C17" w:rsidP="30CA77F3">
            <w:pPr>
              <w:spacing w:before="60" w:after="60" w:line="276" w:lineRule="auto"/>
              <w:jc w:val="center"/>
            </w:pPr>
            <w:r w:rsidRPr="30CA77F3">
              <w:rPr>
                <w:rFonts w:ascii="Arial" w:eastAsia="Calibri" w:hAnsi="Arial" w:cs="Arial"/>
                <w:b/>
                <w:bCs/>
              </w:rPr>
              <w:t xml:space="preserve">Papildomas kapitalinio remonto (KR) ir einamojo remonto </w:t>
            </w:r>
          </w:p>
          <w:p w14:paraId="1B14918F" w14:textId="4E2D4E96" w:rsidR="00247621" w:rsidRPr="00063E21" w:rsidRDefault="7FE45C17" w:rsidP="30CA77F3">
            <w:pPr>
              <w:spacing w:before="60" w:after="60" w:line="276" w:lineRule="auto"/>
              <w:jc w:val="center"/>
              <w:rPr>
                <w:rFonts w:ascii="Arial" w:hAnsi="Arial" w:cs="Arial"/>
                <w:b/>
                <w:bCs/>
              </w:rPr>
            </w:pPr>
            <w:r w:rsidRPr="30CA77F3">
              <w:rPr>
                <w:rFonts w:ascii="Arial" w:eastAsia="Calibri" w:hAnsi="Arial" w:cs="Arial"/>
                <w:b/>
                <w:bCs/>
              </w:rPr>
              <w:t xml:space="preserve"> (ER-3) garantinis terminas mėnesiais  </w:t>
            </w:r>
            <w:r w:rsidR="3CD0D46B" w:rsidRPr="30CA77F3">
              <w:rPr>
                <w:rFonts w:ascii="Arial" w:hAnsi="Arial" w:cs="Arial"/>
                <w:b/>
                <w:bCs/>
                <w:lang w:eastAsia="lt-LT"/>
              </w:rPr>
              <w:t xml:space="preserve"> </w:t>
            </w:r>
            <w:r w:rsidR="025C60AF" w:rsidRPr="30CA77F3">
              <w:rPr>
                <w:rFonts w:ascii="Arial" w:hAnsi="Arial" w:cs="Arial"/>
                <w:b/>
                <w:bCs/>
              </w:rPr>
              <w:t>(T)</w:t>
            </w:r>
          </w:p>
        </w:tc>
        <w:tc>
          <w:tcPr>
            <w:tcW w:w="2619" w:type="dxa"/>
            <w:tcBorders>
              <w:top w:val="single" w:sz="4" w:space="0" w:color="auto"/>
              <w:left w:val="single" w:sz="4" w:space="0" w:color="auto"/>
              <w:bottom w:val="single" w:sz="4" w:space="0" w:color="auto"/>
              <w:right w:val="single" w:sz="4" w:space="0" w:color="auto"/>
            </w:tcBorders>
            <w:vAlign w:val="center"/>
            <w:hideMark/>
          </w:tcPr>
          <w:p w14:paraId="28A77CC1" w14:textId="0413A2C6" w:rsidR="00247621" w:rsidRPr="00063E21" w:rsidRDefault="00D1104A" w:rsidP="00CD7C57">
            <w:pPr>
              <w:spacing w:before="60" w:after="60" w:line="276" w:lineRule="auto"/>
              <w:jc w:val="center"/>
              <w:rPr>
                <w:rFonts w:ascii="Arial" w:hAnsi="Arial" w:cs="Arial"/>
                <w:b/>
                <w:bCs/>
              </w:rPr>
            </w:pPr>
            <w:r w:rsidRPr="00063E21">
              <w:rPr>
                <w:rFonts w:ascii="Arial" w:hAnsi="Arial" w:cs="Arial"/>
                <w:b/>
                <w:bCs/>
              </w:rPr>
              <w:t>Y=</w:t>
            </w:r>
            <w:r w:rsidR="00063E21" w:rsidRPr="00063E21">
              <w:rPr>
                <w:rFonts w:ascii="Arial" w:hAnsi="Arial" w:cs="Arial"/>
                <w:b/>
                <w:bCs/>
              </w:rPr>
              <w:t>5</w:t>
            </w:r>
          </w:p>
        </w:tc>
      </w:tr>
    </w:tbl>
    <w:p w14:paraId="227429A9" w14:textId="77777777" w:rsidR="008373F9" w:rsidRDefault="008373F9" w:rsidP="31BC9218">
      <w:pPr>
        <w:spacing w:before="120" w:after="60" w:line="240" w:lineRule="auto"/>
        <w:jc w:val="both"/>
        <w:rPr>
          <w:rFonts w:ascii="Arial" w:hAnsi="Arial" w:cs="Arial"/>
        </w:rPr>
      </w:pPr>
    </w:p>
    <w:p w14:paraId="4E3B2D33" w14:textId="1C80CB20" w:rsidR="007044FB" w:rsidRPr="00063E21" w:rsidRDefault="620838F7" w:rsidP="619B9EFC">
      <w:pPr>
        <w:spacing w:before="120" w:after="60" w:line="240" w:lineRule="auto"/>
        <w:jc w:val="both"/>
        <w:rPr>
          <w:rFonts w:ascii="Arial" w:hAnsi="Arial" w:cs="Arial"/>
        </w:rPr>
      </w:pPr>
      <w:r w:rsidRPr="30CA77F3">
        <w:rPr>
          <w:rFonts w:ascii="Arial" w:hAnsi="Arial" w:cs="Arial"/>
        </w:rPr>
        <w:t>2</w:t>
      </w:r>
      <w:r w:rsidR="6F0E04E7" w:rsidRPr="30CA77F3">
        <w:rPr>
          <w:rFonts w:ascii="Arial" w:hAnsi="Arial" w:cs="Arial"/>
        </w:rPr>
        <w:t xml:space="preserve">. </w:t>
      </w:r>
      <w:r w:rsidR="04AFCD6F" w:rsidRPr="30CA77F3">
        <w:rPr>
          <w:rFonts w:ascii="Arial" w:hAnsi="Arial" w:cs="Arial"/>
        </w:rPr>
        <w:t>Pasiūlymo ekonominio naudingumo (S) balai bus apskaičiuojami sudedant Pasiūlymo kainos (C) ir P</w:t>
      </w:r>
      <w:r w:rsidR="19BFD1E6" w:rsidRPr="30CA77F3">
        <w:rPr>
          <w:rFonts w:ascii="Arial" w:hAnsi="Arial" w:cs="Arial"/>
        </w:rPr>
        <w:t>apildomo garantinio</w:t>
      </w:r>
      <w:r w:rsidR="04AFCD6F" w:rsidRPr="30CA77F3">
        <w:rPr>
          <w:rFonts w:ascii="Arial" w:hAnsi="Arial" w:cs="Arial"/>
        </w:rPr>
        <w:t xml:space="preserve"> termino</w:t>
      </w:r>
      <w:r w:rsidR="0CE4C6AB" w:rsidRPr="30CA77F3">
        <w:rPr>
          <w:rFonts w:ascii="Arial" w:hAnsi="Arial" w:cs="Arial"/>
        </w:rPr>
        <w:t xml:space="preserve"> kapitalinio</w:t>
      </w:r>
      <w:r w:rsidR="00BB40F4">
        <w:rPr>
          <w:rFonts w:ascii="Arial" w:hAnsi="Arial" w:cs="Arial"/>
        </w:rPr>
        <w:t xml:space="preserve"> </w:t>
      </w:r>
      <w:r w:rsidR="00566083">
        <w:rPr>
          <w:rFonts w:ascii="Arial" w:hAnsi="Arial" w:cs="Arial"/>
        </w:rPr>
        <w:t>(</w:t>
      </w:r>
      <w:r w:rsidR="00BB40F4">
        <w:rPr>
          <w:rFonts w:ascii="Arial" w:hAnsi="Arial" w:cs="Arial"/>
        </w:rPr>
        <w:t>KR)</w:t>
      </w:r>
      <w:r w:rsidR="590410E7" w:rsidRPr="30CA77F3">
        <w:rPr>
          <w:rFonts w:ascii="Arial" w:hAnsi="Arial" w:cs="Arial"/>
        </w:rPr>
        <w:t xml:space="preserve"> ir einamojo</w:t>
      </w:r>
      <w:r w:rsidR="0CE4C6AB" w:rsidRPr="30CA77F3">
        <w:rPr>
          <w:rFonts w:ascii="Arial" w:hAnsi="Arial" w:cs="Arial"/>
        </w:rPr>
        <w:t xml:space="preserve"> remonto </w:t>
      </w:r>
      <w:r w:rsidR="00566083">
        <w:rPr>
          <w:rFonts w:ascii="Arial" w:hAnsi="Arial" w:cs="Arial"/>
        </w:rPr>
        <w:t xml:space="preserve">(ER-3) </w:t>
      </w:r>
      <w:r w:rsidR="6BE70245" w:rsidRPr="30CA77F3">
        <w:rPr>
          <w:rFonts w:ascii="Arial" w:hAnsi="Arial" w:cs="Arial"/>
        </w:rPr>
        <w:t>paslaugoms</w:t>
      </w:r>
      <w:r w:rsidR="04AFCD6F" w:rsidRPr="30CA77F3">
        <w:rPr>
          <w:rFonts w:ascii="Arial" w:hAnsi="Arial" w:cs="Arial"/>
        </w:rPr>
        <w:t xml:space="preserve"> </w:t>
      </w:r>
      <w:r w:rsidR="53BD2B14" w:rsidRPr="30CA77F3">
        <w:rPr>
          <w:rFonts w:ascii="Arial" w:hAnsi="Arial" w:cs="Arial"/>
          <w:b/>
          <w:bCs/>
        </w:rPr>
        <w:t>(</w:t>
      </w:r>
      <w:r w:rsidR="04AFCD6F" w:rsidRPr="30CA77F3">
        <w:rPr>
          <w:rFonts w:ascii="Arial" w:hAnsi="Arial" w:cs="Arial"/>
          <w:b/>
          <w:bCs/>
        </w:rPr>
        <w:t>T</w:t>
      </w:r>
      <w:r w:rsidR="53BD2B14" w:rsidRPr="30CA77F3">
        <w:rPr>
          <w:rFonts w:ascii="Arial" w:hAnsi="Arial" w:cs="Arial"/>
          <w:b/>
          <w:bCs/>
        </w:rPr>
        <w:t>)</w:t>
      </w:r>
      <w:r w:rsidR="04AFCD6F" w:rsidRPr="30CA77F3">
        <w:rPr>
          <w:rFonts w:ascii="Arial" w:hAnsi="Arial" w:cs="Arial"/>
        </w:rPr>
        <w:t xml:space="preserve"> </w:t>
      </w:r>
      <w:r w:rsidR="3B7F11DC" w:rsidRPr="30CA77F3">
        <w:rPr>
          <w:rFonts w:ascii="Arial" w:hAnsi="Arial" w:cs="Arial"/>
        </w:rPr>
        <w:t>balus</w:t>
      </w:r>
      <w:r w:rsidR="53BD2B14" w:rsidRPr="30CA77F3">
        <w:rPr>
          <w:rFonts w:eastAsiaTheme="minorEastAsia"/>
        </w:rPr>
        <w:t>:</w:t>
      </w:r>
      <w:r w:rsidR="3B7F11DC" w:rsidRPr="30CA77F3">
        <w:rPr>
          <w:rFonts w:eastAsiaTheme="minorEastAsia"/>
        </w:rPr>
        <w:t xml:space="preserve"> </w:t>
      </w:r>
      <w:r w:rsidR="04AFCD6F" w:rsidRPr="30CA77F3">
        <w:rPr>
          <w:rFonts w:eastAsiaTheme="minorEastAsia"/>
        </w:rPr>
        <w:t xml:space="preserve"> </w:t>
      </w:r>
    </w:p>
    <w:p w14:paraId="2B54C9CE" w14:textId="1813B81A" w:rsidR="007044FB" w:rsidRPr="00C8463C" w:rsidRDefault="04AFCD6F" w:rsidP="619B9EFC">
      <w:pPr>
        <w:spacing w:before="120" w:after="60" w:line="240" w:lineRule="auto"/>
        <w:jc w:val="center"/>
        <w:rPr>
          <w:rFonts w:ascii="Arial" w:hAnsi="Arial" w:cs="Arial"/>
          <w:iCs/>
        </w:rPr>
      </w:pPr>
      <w:r w:rsidRPr="00C8463C">
        <w:rPr>
          <w:rFonts w:ascii="Arial" w:hAnsi="Arial" w:cs="Arial"/>
          <w:iCs/>
        </w:rPr>
        <w:t>S= C+T</w:t>
      </w:r>
    </w:p>
    <w:p w14:paraId="0A22C0D7" w14:textId="77777777" w:rsidR="005C6951" w:rsidRPr="00063E21" w:rsidRDefault="005C6951" w:rsidP="00B53479">
      <w:pPr>
        <w:spacing w:before="120" w:after="60" w:line="240" w:lineRule="auto"/>
        <w:jc w:val="center"/>
        <w:rPr>
          <w:rFonts w:ascii="Arial" w:hAnsi="Arial" w:cs="Arial"/>
          <w:iCs/>
        </w:rPr>
      </w:pPr>
    </w:p>
    <w:p w14:paraId="0B18F57E" w14:textId="3246C1AF" w:rsidR="007044FB" w:rsidRPr="00063E21" w:rsidRDefault="005C6951" w:rsidP="31BC9218">
      <w:pPr>
        <w:spacing w:before="120" w:after="60" w:line="240" w:lineRule="auto"/>
        <w:jc w:val="both"/>
        <w:rPr>
          <w:rFonts w:ascii="Arial" w:hAnsi="Arial" w:cs="Arial"/>
        </w:rPr>
      </w:pPr>
      <w:r w:rsidRPr="00063E21">
        <w:rPr>
          <w:rFonts w:ascii="Arial" w:hAnsi="Arial" w:cs="Arial"/>
        </w:rPr>
        <w:t>3</w:t>
      </w:r>
      <w:r w:rsidR="007044FB" w:rsidRPr="00063E21">
        <w:rPr>
          <w:rFonts w:ascii="Arial" w:hAnsi="Arial" w:cs="Arial"/>
        </w:rPr>
        <w:t>. Pasiūlymo kainos kriterijaus (C) balai apskaičiuojami mažiausios pasiūlytos kainos (</w:t>
      </w:r>
      <w:proofErr w:type="spellStart"/>
      <w:r w:rsidR="007044FB" w:rsidRPr="00063E21">
        <w:rPr>
          <w:rFonts w:ascii="Arial" w:hAnsi="Arial" w:cs="Arial"/>
        </w:rPr>
        <w:t>C</w:t>
      </w:r>
      <w:r w:rsidR="007044FB" w:rsidRPr="00063E21">
        <w:rPr>
          <w:rFonts w:ascii="Arial" w:hAnsi="Arial" w:cs="Arial"/>
          <w:vertAlign w:val="subscript"/>
        </w:rPr>
        <w:t>min</w:t>
      </w:r>
      <w:proofErr w:type="spellEnd"/>
      <w:r w:rsidR="007044FB" w:rsidRPr="00063E21">
        <w:rPr>
          <w:rFonts w:ascii="Arial" w:hAnsi="Arial" w:cs="Arial"/>
        </w:rPr>
        <w:t>) ir vertinamame pasiūlym</w:t>
      </w:r>
      <w:r w:rsidR="00E1611C" w:rsidRPr="00063E21">
        <w:rPr>
          <w:rFonts w:ascii="Arial" w:hAnsi="Arial" w:cs="Arial"/>
        </w:rPr>
        <w:t>e</w:t>
      </w:r>
      <w:r w:rsidR="007044FB" w:rsidRPr="00063E21">
        <w:rPr>
          <w:rFonts w:ascii="Arial" w:hAnsi="Arial" w:cs="Arial"/>
        </w:rPr>
        <w:t xml:space="preserve"> nurodytos Pasiūlymo kainos (</w:t>
      </w:r>
      <w:proofErr w:type="spellStart"/>
      <w:r w:rsidR="007044FB" w:rsidRPr="00063E21">
        <w:rPr>
          <w:rFonts w:ascii="Arial" w:hAnsi="Arial" w:cs="Arial"/>
        </w:rPr>
        <w:t>C</w:t>
      </w:r>
      <w:r w:rsidR="007044FB" w:rsidRPr="00063E21">
        <w:rPr>
          <w:rFonts w:ascii="Arial" w:hAnsi="Arial" w:cs="Arial"/>
          <w:vertAlign w:val="subscript"/>
        </w:rPr>
        <w:t>p</w:t>
      </w:r>
      <w:proofErr w:type="spellEnd"/>
      <w:r w:rsidR="007044FB" w:rsidRPr="00063E21">
        <w:rPr>
          <w:rFonts w:ascii="Arial" w:hAnsi="Arial" w:cs="Arial"/>
        </w:rPr>
        <w:t>) (pateikiama užpildant Pasiūlymo formoje esančią lentelę) santykį padauginant iš kainos kriterijaus lyginamojo svorio (X):</w:t>
      </w:r>
    </w:p>
    <w:p w14:paraId="1AFDE784" w14:textId="77777777" w:rsidR="005C6951" w:rsidRPr="00063E21" w:rsidRDefault="005C6951" w:rsidP="31BC9218">
      <w:pPr>
        <w:spacing w:before="120" w:after="60" w:line="240" w:lineRule="auto"/>
        <w:jc w:val="both"/>
        <w:rPr>
          <w:rFonts w:ascii="Arial" w:hAnsi="Arial" w:cs="Arial"/>
        </w:rPr>
      </w:pPr>
    </w:p>
    <w:p w14:paraId="11D101D3" w14:textId="69746F08" w:rsidR="007044FB" w:rsidRPr="00063E21" w:rsidRDefault="007044FB" w:rsidP="00B53479">
      <w:pPr>
        <w:spacing w:before="120" w:after="60" w:line="240" w:lineRule="auto"/>
        <w:jc w:val="center"/>
        <w:rPr>
          <w:rFonts w:ascii="Arial" w:hAnsi="Arial" w:cs="Arial"/>
          <w:iCs/>
        </w:rPr>
      </w:pPr>
      <w:r w:rsidRPr="00063E21">
        <w:rPr>
          <w:rFonts w:ascii="Arial" w:hAnsi="Arial" w:cs="Arial"/>
          <w:iCs/>
        </w:rPr>
        <w:t>C=</w:t>
      </w:r>
      <w:proofErr w:type="spellStart"/>
      <w:r w:rsidRPr="00063E21">
        <w:rPr>
          <w:rFonts w:ascii="Arial" w:hAnsi="Arial" w:cs="Arial"/>
          <w:iCs/>
        </w:rPr>
        <w:t>C</w:t>
      </w:r>
      <w:r w:rsidRPr="00063E21">
        <w:rPr>
          <w:rFonts w:ascii="Arial" w:hAnsi="Arial" w:cs="Arial"/>
          <w:iCs/>
          <w:vertAlign w:val="subscript"/>
        </w:rPr>
        <w:t>min</w:t>
      </w:r>
      <w:proofErr w:type="spellEnd"/>
      <w:r w:rsidRPr="00063E21">
        <w:rPr>
          <w:rFonts w:ascii="Arial" w:hAnsi="Arial" w:cs="Arial"/>
          <w:iCs/>
        </w:rPr>
        <w:t xml:space="preserve"> / </w:t>
      </w:r>
      <w:proofErr w:type="spellStart"/>
      <w:r w:rsidRPr="00063E21">
        <w:rPr>
          <w:rFonts w:ascii="Arial" w:hAnsi="Arial" w:cs="Arial"/>
          <w:iCs/>
        </w:rPr>
        <w:t>C</w:t>
      </w:r>
      <w:r w:rsidRPr="00063E21">
        <w:rPr>
          <w:rFonts w:ascii="Arial" w:hAnsi="Arial" w:cs="Arial"/>
          <w:iCs/>
          <w:vertAlign w:val="subscript"/>
        </w:rPr>
        <w:t>p</w:t>
      </w:r>
      <w:proofErr w:type="spellEnd"/>
      <w:r w:rsidRPr="00063E21">
        <w:rPr>
          <w:rFonts w:ascii="Arial" w:hAnsi="Arial" w:cs="Arial"/>
          <w:iCs/>
        </w:rPr>
        <w:t>*X</w:t>
      </w:r>
    </w:p>
    <w:p w14:paraId="473C4E2F" w14:textId="77777777" w:rsidR="005C6951" w:rsidRPr="00063E21" w:rsidRDefault="005C6951" w:rsidP="00B53479">
      <w:pPr>
        <w:spacing w:before="120" w:after="60" w:line="240" w:lineRule="auto"/>
        <w:jc w:val="center"/>
        <w:rPr>
          <w:rFonts w:ascii="Arial" w:hAnsi="Arial" w:cs="Arial"/>
          <w:iCs/>
        </w:rPr>
      </w:pPr>
    </w:p>
    <w:p w14:paraId="1A1700AD" w14:textId="5F655476" w:rsidR="007044FB" w:rsidRPr="00063E21" w:rsidRDefault="005C6951" w:rsidP="007044FB">
      <w:pPr>
        <w:spacing w:before="120" w:after="60" w:line="240" w:lineRule="auto"/>
        <w:jc w:val="both"/>
        <w:rPr>
          <w:rFonts w:ascii="Arial" w:hAnsi="Arial" w:cs="Arial"/>
        </w:rPr>
      </w:pPr>
      <w:r w:rsidRPr="00063E21">
        <w:rPr>
          <w:rFonts w:ascii="Arial" w:hAnsi="Arial" w:cs="Arial"/>
        </w:rPr>
        <w:t>4</w:t>
      </w:r>
      <w:r w:rsidR="007044FB" w:rsidRPr="00063E21">
        <w:rPr>
          <w:rFonts w:ascii="Arial" w:hAnsi="Arial" w:cs="Arial"/>
        </w:rPr>
        <w:t>. Kriterijaus</w:t>
      </w:r>
      <w:r w:rsidR="0039277F" w:rsidRPr="00063E21">
        <w:rPr>
          <w:rFonts w:ascii="Arial" w:hAnsi="Arial" w:cs="Arial"/>
        </w:rPr>
        <w:t xml:space="preserve"> (T)</w:t>
      </w:r>
      <w:r w:rsidR="00AE28BD" w:rsidRPr="00063E21">
        <w:rPr>
          <w:rFonts w:ascii="Arial" w:hAnsi="Arial" w:cs="Arial"/>
        </w:rPr>
        <w:t xml:space="preserve"> </w:t>
      </w:r>
      <w:r w:rsidR="007044FB" w:rsidRPr="00063E21">
        <w:rPr>
          <w:rFonts w:ascii="Arial" w:hAnsi="Arial" w:cs="Arial"/>
        </w:rPr>
        <w:t xml:space="preserve">balai apskaičiuojami </w:t>
      </w:r>
      <w:r w:rsidR="005C3F38">
        <w:rPr>
          <w:rFonts w:ascii="Arial" w:hAnsi="Arial" w:cs="Arial"/>
        </w:rPr>
        <w:t xml:space="preserve">pagal </w:t>
      </w:r>
      <w:r w:rsidR="007044FB" w:rsidRPr="00063E21">
        <w:rPr>
          <w:rFonts w:ascii="Arial" w:hAnsi="Arial" w:cs="Arial"/>
        </w:rPr>
        <w:t>santykį tarp vertin</w:t>
      </w:r>
      <w:r w:rsidR="00DA44C2" w:rsidRPr="00063E21">
        <w:rPr>
          <w:rFonts w:ascii="Arial" w:hAnsi="Arial" w:cs="Arial"/>
        </w:rPr>
        <w:t>amo</w:t>
      </w:r>
      <w:r w:rsidR="007044FB" w:rsidRPr="00063E21">
        <w:rPr>
          <w:rFonts w:ascii="Arial" w:hAnsi="Arial" w:cs="Arial"/>
        </w:rPr>
        <w:t xml:space="preserve"> Tiekėjo </w:t>
      </w:r>
      <w:r w:rsidR="00DA44C2" w:rsidRPr="00063E21">
        <w:rPr>
          <w:rFonts w:ascii="Arial" w:hAnsi="Arial" w:cs="Arial"/>
        </w:rPr>
        <w:t>pasiūlyto papildomo garantinio termino mėnesiais</w:t>
      </w:r>
      <w:r w:rsidR="007044FB" w:rsidRPr="00063E21">
        <w:rPr>
          <w:rFonts w:ascii="Arial" w:hAnsi="Arial" w:cs="Arial"/>
        </w:rPr>
        <w:t xml:space="preserve"> (</w:t>
      </w:r>
      <w:proofErr w:type="spellStart"/>
      <w:r w:rsidR="007044FB" w:rsidRPr="00063E21">
        <w:rPr>
          <w:rFonts w:ascii="Arial" w:hAnsi="Arial" w:cs="Arial"/>
        </w:rPr>
        <w:t>T</w:t>
      </w:r>
      <w:r w:rsidR="007044FB" w:rsidRPr="00063E21">
        <w:rPr>
          <w:rFonts w:ascii="Arial" w:hAnsi="Arial" w:cs="Arial"/>
          <w:vertAlign w:val="subscript"/>
        </w:rPr>
        <w:t>p</w:t>
      </w:r>
      <w:proofErr w:type="spellEnd"/>
      <w:r w:rsidR="007044FB" w:rsidRPr="00063E21">
        <w:rPr>
          <w:rFonts w:ascii="Arial" w:hAnsi="Arial" w:cs="Arial"/>
        </w:rPr>
        <w:t>) ir daugiausiai tiekėjo pasiūly</w:t>
      </w:r>
      <w:r w:rsidR="00D8233D" w:rsidRPr="00063E21">
        <w:rPr>
          <w:rFonts w:ascii="Arial" w:hAnsi="Arial" w:cs="Arial"/>
        </w:rPr>
        <w:t>to termino mėnesiais</w:t>
      </w:r>
      <w:r w:rsidR="007044FB" w:rsidRPr="00063E21">
        <w:rPr>
          <w:rFonts w:ascii="Arial" w:hAnsi="Arial" w:cs="Arial"/>
        </w:rPr>
        <w:t xml:space="preserve"> (</w:t>
      </w:r>
      <w:proofErr w:type="spellStart"/>
      <w:r w:rsidR="007044FB" w:rsidRPr="00063E21">
        <w:rPr>
          <w:rFonts w:ascii="Arial" w:hAnsi="Arial" w:cs="Arial"/>
        </w:rPr>
        <w:t>T</w:t>
      </w:r>
      <w:r w:rsidR="007044FB" w:rsidRPr="00063E21">
        <w:rPr>
          <w:rFonts w:ascii="Arial" w:hAnsi="Arial" w:cs="Arial"/>
          <w:vertAlign w:val="subscript"/>
        </w:rPr>
        <w:t>max</w:t>
      </w:r>
      <w:proofErr w:type="spellEnd"/>
      <w:r w:rsidR="007044FB" w:rsidRPr="00063E21">
        <w:rPr>
          <w:rFonts w:ascii="Arial" w:hAnsi="Arial" w:cs="Arial"/>
        </w:rPr>
        <w:t>)</w:t>
      </w:r>
      <w:r w:rsidR="00C75A9F">
        <w:rPr>
          <w:rFonts w:ascii="Arial" w:hAnsi="Arial" w:cs="Arial"/>
        </w:rPr>
        <w:t>,</w:t>
      </w:r>
      <w:r w:rsidR="007044FB" w:rsidRPr="00063E21">
        <w:rPr>
          <w:rFonts w:ascii="Arial" w:hAnsi="Arial" w:cs="Arial"/>
        </w:rPr>
        <w:t xml:space="preserve"> padauginus iš vertinamo kriterijaus lyginamojo svorio (Y</w:t>
      </w:r>
      <w:r w:rsidR="0039277F" w:rsidRPr="00063E21">
        <w:rPr>
          <w:rFonts w:ascii="Arial" w:hAnsi="Arial" w:cs="Arial"/>
        </w:rPr>
        <w:t>)</w:t>
      </w:r>
      <w:r w:rsidR="007044FB" w:rsidRPr="00063E21">
        <w:rPr>
          <w:rFonts w:ascii="Arial" w:hAnsi="Arial" w:cs="Arial"/>
        </w:rPr>
        <w:t>:</w:t>
      </w:r>
    </w:p>
    <w:p w14:paraId="7F81BC31" w14:textId="16461D09" w:rsidR="007044FB" w:rsidRPr="00063E21" w:rsidRDefault="007044FB" w:rsidP="00A71B9C">
      <w:pPr>
        <w:spacing w:before="120" w:after="60" w:line="240" w:lineRule="auto"/>
        <w:ind w:left="720"/>
        <w:jc w:val="center"/>
        <w:rPr>
          <w:rFonts w:ascii="Arial" w:hAnsi="Arial" w:cs="Arial"/>
          <w:iCs/>
        </w:rPr>
      </w:pPr>
      <w:r w:rsidRPr="00063E21">
        <w:rPr>
          <w:rFonts w:ascii="Arial" w:hAnsi="Arial" w:cs="Arial"/>
          <w:iCs/>
        </w:rPr>
        <w:t>T =</w:t>
      </w:r>
      <w:proofErr w:type="spellStart"/>
      <w:r w:rsidRPr="00063E21">
        <w:rPr>
          <w:rFonts w:ascii="Arial" w:hAnsi="Arial" w:cs="Arial"/>
          <w:iCs/>
        </w:rPr>
        <w:t>T</w:t>
      </w:r>
      <w:r w:rsidRPr="00063E21">
        <w:rPr>
          <w:rFonts w:ascii="Arial" w:hAnsi="Arial" w:cs="Arial"/>
          <w:iCs/>
          <w:vertAlign w:val="subscript"/>
        </w:rPr>
        <w:t>p</w:t>
      </w:r>
      <w:proofErr w:type="spellEnd"/>
      <w:r w:rsidRPr="00063E21">
        <w:rPr>
          <w:rFonts w:ascii="Arial" w:hAnsi="Arial" w:cs="Arial"/>
          <w:iCs/>
        </w:rPr>
        <w:t xml:space="preserve"> / </w:t>
      </w:r>
      <w:proofErr w:type="spellStart"/>
      <w:r w:rsidRPr="00063E21">
        <w:rPr>
          <w:rFonts w:ascii="Arial" w:hAnsi="Arial" w:cs="Arial"/>
          <w:iCs/>
        </w:rPr>
        <w:t>T</w:t>
      </w:r>
      <w:r w:rsidRPr="00063E21">
        <w:rPr>
          <w:rFonts w:ascii="Arial" w:hAnsi="Arial" w:cs="Arial"/>
          <w:iCs/>
          <w:vertAlign w:val="subscript"/>
        </w:rPr>
        <w:t>max</w:t>
      </w:r>
      <w:proofErr w:type="spellEnd"/>
      <w:r w:rsidRPr="00063E21">
        <w:rPr>
          <w:rFonts w:ascii="Arial" w:hAnsi="Arial" w:cs="Arial"/>
          <w:iCs/>
        </w:rPr>
        <w:t>* Y</w:t>
      </w:r>
    </w:p>
    <w:p w14:paraId="1BEABC20" w14:textId="77777777" w:rsidR="00101F6D" w:rsidRPr="00063E21" w:rsidRDefault="00101F6D" w:rsidP="00C96993">
      <w:pPr>
        <w:spacing w:before="120" w:after="60" w:line="240" w:lineRule="auto"/>
        <w:rPr>
          <w:rFonts w:ascii="Arial" w:hAnsi="Arial" w:cs="Arial"/>
          <w:i/>
        </w:rPr>
      </w:pPr>
    </w:p>
    <w:p w14:paraId="07C5F125" w14:textId="332424DA" w:rsidR="00A25A83" w:rsidRPr="00A25A83" w:rsidRDefault="00A25A83" w:rsidP="00DA04F3">
      <w:pPr>
        <w:jc w:val="both"/>
        <w:rPr>
          <w:rFonts w:ascii="Arial" w:hAnsi="Arial" w:cs="Arial"/>
        </w:rPr>
      </w:pPr>
      <w:r w:rsidRPr="30CA77F3">
        <w:rPr>
          <w:rFonts w:ascii="Arial" w:hAnsi="Arial" w:cs="Arial"/>
        </w:rPr>
        <w:t xml:space="preserve">5. </w:t>
      </w:r>
      <w:r w:rsidR="00DA04F3" w:rsidRPr="30CA77F3">
        <w:rPr>
          <w:rFonts w:ascii="Arial" w:hAnsi="Arial" w:cs="Arial"/>
        </w:rPr>
        <w:t>Jei kiekvieno tiekėjo pasiūlytas papildomas garantinis terminas (</w:t>
      </w:r>
      <w:proofErr w:type="spellStart"/>
      <w:r w:rsidR="00DA04F3" w:rsidRPr="30CA77F3">
        <w:rPr>
          <w:rFonts w:ascii="Arial" w:hAnsi="Arial" w:cs="Arial"/>
        </w:rPr>
        <w:t>T</w:t>
      </w:r>
      <w:r w:rsidR="00DA04F3" w:rsidRPr="00C8463C">
        <w:rPr>
          <w:rFonts w:ascii="Arial" w:hAnsi="Arial" w:cs="Arial"/>
          <w:vertAlign w:val="subscript"/>
        </w:rPr>
        <w:t>p</w:t>
      </w:r>
      <w:proofErr w:type="spellEnd"/>
      <w:r w:rsidR="00DA04F3" w:rsidRPr="30CA77F3">
        <w:rPr>
          <w:rFonts w:ascii="Arial" w:hAnsi="Arial" w:cs="Arial"/>
        </w:rPr>
        <w:t>) yra 0</w:t>
      </w:r>
      <w:r w:rsidRPr="30CA77F3">
        <w:rPr>
          <w:rFonts w:ascii="Arial" w:hAnsi="Arial" w:cs="Arial"/>
        </w:rPr>
        <w:t>, kiekvienam Tiekėjui skiriamo pasiūlymo kriterijaus (T) reikšmė yra 0.</w:t>
      </w:r>
    </w:p>
    <w:p w14:paraId="6FB6AC21" w14:textId="1485E71F" w:rsidR="00EF5FDB" w:rsidRPr="00063E21" w:rsidRDefault="00A25A83" w:rsidP="00EF5FDB">
      <w:pPr>
        <w:jc w:val="both"/>
        <w:rPr>
          <w:rFonts w:ascii="Arial" w:hAnsi="Arial" w:cs="Arial"/>
        </w:rPr>
      </w:pPr>
      <w:r>
        <w:rPr>
          <w:rFonts w:ascii="Arial" w:hAnsi="Arial" w:cs="Arial"/>
        </w:rPr>
        <w:t>6</w:t>
      </w:r>
      <w:r w:rsidR="00EF5FDB" w:rsidRPr="00063E21">
        <w:rPr>
          <w:rFonts w:ascii="Arial" w:hAnsi="Arial" w:cs="Arial"/>
        </w:rPr>
        <w:t xml:space="preserve">.  Ekonomiškai naudingiausiu bus pripažįstamas pasiūlymas, surinkęs didžiausią ekonominio naudingumo balą S. </w:t>
      </w:r>
    </w:p>
    <w:p w14:paraId="7F281F6A" w14:textId="58B452FB" w:rsidR="00EF5FDB" w:rsidRPr="00063E21" w:rsidRDefault="00A25A83" w:rsidP="00EF5FDB">
      <w:pPr>
        <w:jc w:val="both"/>
        <w:rPr>
          <w:rFonts w:ascii="Arial" w:hAnsi="Arial" w:cs="Arial"/>
        </w:rPr>
      </w:pPr>
      <w:r>
        <w:rPr>
          <w:rFonts w:ascii="Arial" w:hAnsi="Arial" w:cs="Arial"/>
        </w:rPr>
        <w:t>7</w:t>
      </w:r>
      <w:r w:rsidR="00EF5FDB" w:rsidRPr="00063E21">
        <w:rPr>
          <w:rFonts w:ascii="Arial" w:hAnsi="Arial" w:cs="Arial"/>
        </w:rPr>
        <w:t>. Jeigu tiekėjas, kuriam buvo pasiūlyta sudaryti pirkimo sutartį, raštu atsisako ją sudaryti arba dėl kitų priežasčių tiekėjas yra pašalinamas iš pirkimo procedūrų ar jo pasiūlymas atmetamas įstatyme ir pirkimo dokumentuose numatyta tvarka, tokiu atveju ekonominio naudingumo balai yra perskaičiuojami, ir ekonomiškai naudingiausiu bus pripažįstamas pasiūlymas, surinkęs didžiausią ekonominio naudingumo balą S.</w:t>
      </w:r>
    </w:p>
    <w:p w14:paraId="51D5489F" w14:textId="6408BE9D" w:rsidR="00DF3F04" w:rsidRDefault="00A25A83" w:rsidP="00EF5FDB">
      <w:pPr>
        <w:jc w:val="both"/>
        <w:rPr>
          <w:rFonts w:ascii="Arial" w:hAnsi="Arial" w:cs="Arial"/>
        </w:rPr>
      </w:pPr>
      <w:r>
        <w:rPr>
          <w:rFonts w:ascii="Arial" w:hAnsi="Arial" w:cs="Arial"/>
        </w:rPr>
        <w:t>8</w:t>
      </w:r>
      <w:r w:rsidR="00EF5FDB" w:rsidRPr="00063E21">
        <w:rPr>
          <w:rFonts w:ascii="Arial" w:hAnsi="Arial" w:cs="Arial"/>
        </w:rPr>
        <w:t xml:space="preserve">. Atliekant ekonominio naudingumo vertinimą, skaičiavimai apvalinami </w:t>
      </w:r>
      <w:r w:rsidR="00C424C1" w:rsidRPr="00063E21">
        <w:rPr>
          <w:rFonts w:ascii="Arial" w:hAnsi="Arial" w:cs="Arial"/>
        </w:rPr>
        <w:t xml:space="preserve">dviejų </w:t>
      </w:r>
      <w:r w:rsidR="00EF5FDB" w:rsidRPr="00063E21">
        <w:rPr>
          <w:rFonts w:ascii="Arial" w:hAnsi="Arial" w:cs="Arial"/>
        </w:rPr>
        <w:t>(2) skaičių po kablelio tikslumu</w:t>
      </w:r>
      <w:r w:rsidR="00153D74" w:rsidRPr="00063E21">
        <w:rPr>
          <w:rFonts w:ascii="Arial" w:hAnsi="Arial" w:cs="Arial"/>
        </w:rPr>
        <w:t xml:space="preserve"> pagal matematikos taisykles</w:t>
      </w:r>
      <w:r w:rsidR="00EF5FDB" w:rsidRPr="00063E21">
        <w:rPr>
          <w:rFonts w:ascii="Arial" w:hAnsi="Arial" w:cs="Arial"/>
        </w:rPr>
        <w:t>.</w:t>
      </w:r>
    </w:p>
    <w:p w14:paraId="3E857D21" w14:textId="77777777" w:rsidR="00DF3F04" w:rsidRDefault="00DF3F04">
      <w:pPr>
        <w:rPr>
          <w:rFonts w:ascii="Arial" w:hAnsi="Arial" w:cs="Arial"/>
        </w:rPr>
      </w:pPr>
      <w:r>
        <w:rPr>
          <w:rFonts w:ascii="Arial" w:hAnsi="Arial" w:cs="Arial"/>
        </w:rPr>
        <w:br w:type="page"/>
      </w:r>
    </w:p>
    <w:p w14:paraId="0879200A" w14:textId="77777777" w:rsidR="00D47B54" w:rsidRDefault="00D47B54" w:rsidP="00D47B54">
      <w:pPr>
        <w:tabs>
          <w:tab w:val="left" w:pos="480"/>
        </w:tabs>
        <w:spacing w:before="60" w:after="60"/>
        <w:jc w:val="center"/>
        <w:rPr>
          <w:rFonts w:ascii="Arial" w:hAnsi="Arial" w:cs="Arial"/>
          <w:b/>
          <w:bCs/>
        </w:rPr>
      </w:pPr>
      <w:r w:rsidRPr="00A206F8">
        <w:rPr>
          <w:rFonts w:ascii="Arial" w:hAnsi="Arial" w:cs="Arial"/>
          <w:b/>
          <w:bCs/>
        </w:rPr>
        <w:lastRenderedPageBreak/>
        <w:t>METHODOLOGY FOR EVALUATING THE ECONOMIC UTILITY OF TENDERS</w:t>
      </w:r>
    </w:p>
    <w:p w14:paraId="29CEE10C" w14:textId="77777777" w:rsidR="00D47B54" w:rsidRPr="00063E21" w:rsidRDefault="00D47B54" w:rsidP="00D47B54">
      <w:pPr>
        <w:tabs>
          <w:tab w:val="left" w:pos="480"/>
        </w:tabs>
        <w:spacing w:before="60" w:after="60"/>
        <w:jc w:val="center"/>
        <w:rPr>
          <w:rFonts w:ascii="Arial" w:hAnsi="Arial" w:cs="Arial"/>
        </w:rPr>
      </w:pPr>
    </w:p>
    <w:p w14:paraId="009C52CB" w14:textId="77777777" w:rsidR="00D47B54" w:rsidRPr="00A206F8" w:rsidRDefault="00D47B54" w:rsidP="00D47B54">
      <w:pPr>
        <w:pStyle w:val="ListParagraph"/>
        <w:numPr>
          <w:ilvl w:val="0"/>
          <w:numId w:val="10"/>
        </w:numPr>
        <w:rPr>
          <w:rFonts w:ascii="Arial" w:eastAsiaTheme="minorHAnsi" w:hAnsi="Arial" w:cs="Arial"/>
          <w:sz w:val="22"/>
          <w:szCs w:val="22"/>
          <w:lang w:val="en-GB"/>
        </w:rPr>
      </w:pPr>
      <w:r w:rsidRPr="00A206F8">
        <w:rPr>
          <w:rFonts w:ascii="Arial" w:eastAsiaTheme="minorHAnsi" w:hAnsi="Arial" w:cs="Arial"/>
          <w:sz w:val="22"/>
          <w:szCs w:val="22"/>
          <w:lang w:val="en-GB"/>
        </w:rPr>
        <w:t>This Appendix contains the evaluation criteria of the most economically beneficial Tender, their parameters, comparative weights, formulas based on which the economic usefulness of the Tenders will be calculated, and a description of the expert evaluation methodology.</w:t>
      </w:r>
    </w:p>
    <w:p w14:paraId="0820E986" w14:textId="77777777" w:rsidR="00D47B54" w:rsidRPr="00A206F8" w:rsidRDefault="00D47B54" w:rsidP="00D47B54">
      <w:pPr>
        <w:pStyle w:val="ListParagraph"/>
        <w:ind w:left="360"/>
        <w:rPr>
          <w:rFonts w:ascii="Arial" w:eastAsiaTheme="minorHAnsi" w:hAnsi="Arial" w:cs="Arial"/>
          <w:sz w:val="22"/>
          <w:szCs w:val="22"/>
          <w:lang w:val="en-GB"/>
        </w:rPr>
      </w:pPr>
    </w:p>
    <w:p w14:paraId="71AB80DC" w14:textId="77777777" w:rsidR="00D47B54" w:rsidRPr="00A206F8" w:rsidRDefault="00D47B54" w:rsidP="00D47B54">
      <w:pPr>
        <w:jc w:val="right"/>
        <w:rPr>
          <w:rFonts w:asciiTheme="minorBidi" w:hAnsiTheme="minorBidi"/>
          <w:i/>
          <w:iCs/>
          <w:sz w:val="20"/>
          <w:szCs w:val="20"/>
          <w:lang w:val="en-GB"/>
        </w:rPr>
      </w:pPr>
      <w:r w:rsidRPr="00A206F8">
        <w:rPr>
          <w:rFonts w:asciiTheme="minorBidi" w:hAnsiTheme="minorBidi"/>
          <w:i/>
          <w:iCs/>
          <w:sz w:val="20"/>
          <w:szCs w:val="20"/>
          <w:lang w:val="en-GB"/>
        </w:rPr>
        <w:t>Table 1. Tender evaluation criteria and comparative weights</w:t>
      </w:r>
    </w:p>
    <w:tbl>
      <w:tblPr>
        <w:tblW w:w="10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40"/>
        <w:gridCol w:w="2619"/>
      </w:tblGrid>
      <w:tr w:rsidR="00D47B54" w:rsidRPr="00063E21" w14:paraId="5668D0BB" w14:textId="77777777" w:rsidTr="001B4DB7">
        <w:trPr>
          <w:cantSplit/>
          <w:trHeight w:val="613"/>
        </w:trPr>
        <w:tc>
          <w:tcPr>
            <w:tcW w:w="7440"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14:paraId="5B7B72B1" w14:textId="77777777" w:rsidR="00D47B54" w:rsidRPr="00E347A6" w:rsidRDefault="00D47B54" w:rsidP="001B4DB7">
            <w:pPr>
              <w:spacing w:after="60" w:line="240" w:lineRule="auto"/>
              <w:ind w:left="-108" w:right="-108"/>
              <w:jc w:val="center"/>
              <w:rPr>
                <w:rFonts w:ascii="Arial" w:hAnsi="Arial" w:cs="Arial"/>
                <w:b/>
                <w:bCs/>
                <w:color w:val="000000"/>
                <w:lang w:val="en-GB"/>
              </w:rPr>
            </w:pPr>
            <w:r w:rsidRPr="00E347A6">
              <w:rPr>
                <w:rFonts w:ascii="Arial" w:hAnsi="Arial" w:cs="Arial"/>
                <w:b/>
                <w:bCs/>
                <w:lang w:val="en-GB"/>
              </w:rPr>
              <w:t>Evaluation criteria and parameters</w:t>
            </w:r>
          </w:p>
        </w:tc>
        <w:tc>
          <w:tcPr>
            <w:tcW w:w="2619"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14:paraId="29EBCEC9" w14:textId="77777777" w:rsidR="00D47B54" w:rsidRPr="00063E21" w:rsidRDefault="00D47B54" w:rsidP="001B4DB7">
            <w:pPr>
              <w:spacing w:after="60" w:line="240" w:lineRule="auto"/>
              <w:ind w:left="-108" w:right="-108"/>
              <w:jc w:val="center"/>
              <w:rPr>
                <w:rFonts w:ascii="Arial" w:hAnsi="Arial" w:cs="Arial"/>
                <w:b/>
                <w:bCs/>
              </w:rPr>
            </w:pPr>
            <w:proofErr w:type="spellStart"/>
            <w:r w:rsidRPr="00A206F8">
              <w:rPr>
                <w:rFonts w:ascii="Arial" w:hAnsi="Arial" w:cs="Arial"/>
                <w:b/>
                <w:bCs/>
                <w:color w:val="000000"/>
              </w:rPr>
              <w:t>Comparative</w:t>
            </w:r>
            <w:proofErr w:type="spellEnd"/>
            <w:r w:rsidRPr="00A206F8">
              <w:rPr>
                <w:rFonts w:ascii="Arial" w:hAnsi="Arial" w:cs="Arial"/>
                <w:b/>
                <w:bCs/>
                <w:color w:val="000000"/>
              </w:rPr>
              <w:t xml:space="preserve"> </w:t>
            </w:r>
            <w:proofErr w:type="spellStart"/>
            <w:r w:rsidRPr="00A206F8">
              <w:rPr>
                <w:rFonts w:ascii="Arial" w:hAnsi="Arial" w:cs="Arial"/>
                <w:b/>
                <w:bCs/>
                <w:color w:val="000000"/>
              </w:rPr>
              <w:t>weight</w:t>
            </w:r>
            <w:proofErr w:type="spellEnd"/>
            <w:r w:rsidRPr="00A206F8">
              <w:rPr>
                <w:rFonts w:ascii="Arial" w:hAnsi="Arial" w:cs="Arial"/>
                <w:b/>
                <w:bCs/>
                <w:color w:val="000000"/>
              </w:rPr>
              <w:t xml:space="preserve"> </w:t>
            </w:r>
            <w:proofErr w:type="spellStart"/>
            <w:r w:rsidRPr="00A206F8">
              <w:rPr>
                <w:rFonts w:ascii="Arial" w:hAnsi="Arial" w:cs="Arial"/>
                <w:b/>
                <w:bCs/>
                <w:color w:val="000000"/>
              </w:rPr>
              <w:t>in</w:t>
            </w:r>
            <w:proofErr w:type="spellEnd"/>
            <w:r w:rsidRPr="00A206F8">
              <w:rPr>
                <w:rFonts w:ascii="Arial" w:hAnsi="Arial" w:cs="Arial"/>
                <w:b/>
                <w:bCs/>
                <w:color w:val="000000"/>
              </w:rPr>
              <w:t xml:space="preserve"> </w:t>
            </w:r>
            <w:proofErr w:type="spellStart"/>
            <w:r w:rsidRPr="00A206F8">
              <w:rPr>
                <w:rFonts w:ascii="Arial" w:hAnsi="Arial" w:cs="Arial"/>
                <w:b/>
                <w:bCs/>
                <w:color w:val="000000"/>
              </w:rPr>
              <w:t>the</w:t>
            </w:r>
            <w:proofErr w:type="spellEnd"/>
            <w:r w:rsidRPr="00A206F8">
              <w:rPr>
                <w:rFonts w:ascii="Arial" w:hAnsi="Arial" w:cs="Arial"/>
                <w:b/>
                <w:bCs/>
                <w:color w:val="000000"/>
              </w:rPr>
              <w:t xml:space="preserve"> </w:t>
            </w:r>
            <w:proofErr w:type="spellStart"/>
            <w:r w:rsidRPr="00A206F8">
              <w:rPr>
                <w:rFonts w:ascii="Arial" w:hAnsi="Arial" w:cs="Arial"/>
                <w:b/>
                <w:bCs/>
                <w:color w:val="000000"/>
              </w:rPr>
              <w:t>evaluation</w:t>
            </w:r>
            <w:proofErr w:type="spellEnd"/>
            <w:r w:rsidRPr="00A206F8">
              <w:rPr>
                <w:rFonts w:ascii="Arial" w:hAnsi="Arial" w:cs="Arial"/>
                <w:b/>
                <w:bCs/>
                <w:color w:val="000000"/>
              </w:rPr>
              <w:t xml:space="preserve"> </w:t>
            </w:r>
            <w:proofErr w:type="spellStart"/>
            <w:r w:rsidRPr="00A206F8">
              <w:rPr>
                <w:rFonts w:ascii="Arial" w:hAnsi="Arial" w:cs="Arial"/>
                <w:b/>
                <w:bCs/>
                <w:color w:val="000000"/>
              </w:rPr>
              <w:t>of</w:t>
            </w:r>
            <w:proofErr w:type="spellEnd"/>
            <w:r w:rsidRPr="00A206F8">
              <w:rPr>
                <w:rFonts w:ascii="Arial" w:hAnsi="Arial" w:cs="Arial"/>
                <w:b/>
                <w:bCs/>
                <w:color w:val="000000"/>
              </w:rPr>
              <w:t xml:space="preserve"> </w:t>
            </w:r>
            <w:proofErr w:type="spellStart"/>
            <w:r w:rsidRPr="00A206F8">
              <w:rPr>
                <w:rFonts w:ascii="Arial" w:hAnsi="Arial" w:cs="Arial"/>
                <w:b/>
                <w:bCs/>
                <w:color w:val="000000"/>
              </w:rPr>
              <w:t>economic</w:t>
            </w:r>
            <w:proofErr w:type="spellEnd"/>
            <w:r w:rsidRPr="00A206F8">
              <w:rPr>
                <w:rFonts w:ascii="Arial" w:hAnsi="Arial" w:cs="Arial"/>
                <w:b/>
                <w:bCs/>
                <w:color w:val="000000"/>
              </w:rPr>
              <w:t xml:space="preserve"> </w:t>
            </w:r>
            <w:proofErr w:type="spellStart"/>
            <w:r w:rsidRPr="00A206F8">
              <w:rPr>
                <w:rFonts w:ascii="Arial" w:hAnsi="Arial" w:cs="Arial"/>
                <w:b/>
                <w:bCs/>
                <w:color w:val="000000"/>
              </w:rPr>
              <w:t>utility</w:t>
            </w:r>
            <w:proofErr w:type="spellEnd"/>
          </w:p>
        </w:tc>
      </w:tr>
      <w:tr w:rsidR="00D47B54" w:rsidRPr="00063E21" w14:paraId="099CFAF8" w14:textId="77777777" w:rsidTr="001B4DB7">
        <w:trPr>
          <w:cantSplit/>
          <w:trHeight w:val="557"/>
        </w:trPr>
        <w:tc>
          <w:tcPr>
            <w:tcW w:w="7440" w:type="dxa"/>
            <w:tcBorders>
              <w:top w:val="single" w:sz="4" w:space="0" w:color="auto"/>
              <w:left w:val="single" w:sz="4" w:space="0" w:color="auto"/>
              <w:bottom w:val="single" w:sz="4" w:space="0" w:color="auto"/>
              <w:right w:val="single" w:sz="4" w:space="0" w:color="auto"/>
            </w:tcBorders>
            <w:vAlign w:val="center"/>
            <w:hideMark/>
          </w:tcPr>
          <w:p w14:paraId="0E1C7C5D" w14:textId="77777777" w:rsidR="00D47B54" w:rsidRPr="00E347A6" w:rsidRDefault="00D47B54" w:rsidP="001B4DB7">
            <w:pPr>
              <w:spacing w:before="60" w:after="60" w:line="276" w:lineRule="auto"/>
              <w:jc w:val="center"/>
              <w:rPr>
                <w:rFonts w:ascii="Arial" w:hAnsi="Arial" w:cs="Arial"/>
                <w:b/>
                <w:lang w:val="en-GB"/>
              </w:rPr>
            </w:pPr>
            <w:r w:rsidRPr="00E347A6">
              <w:rPr>
                <w:rFonts w:ascii="Arial" w:hAnsi="Arial" w:cs="Arial"/>
                <w:b/>
                <w:lang w:val="en-GB"/>
              </w:rPr>
              <w:t>Criterion I – Price (</w:t>
            </w:r>
            <w:r w:rsidRPr="00E347A6">
              <w:rPr>
                <w:rFonts w:ascii="Cambria Math" w:hAnsi="Cambria Math" w:cs="Cambria Math"/>
                <w:b/>
                <w:lang w:val="en-GB"/>
              </w:rPr>
              <w:t>𝑪</w:t>
            </w:r>
            <w:r w:rsidRPr="00E347A6">
              <w:rPr>
                <w:rFonts w:ascii="Arial" w:hAnsi="Arial" w:cs="Arial"/>
                <w:b/>
                <w:lang w:val="en-GB"/>
              </w:rPr>
              <w:t>)</w:t>
            </w:r>
          </w:p>
        </w:tc>
        <w:tc>
          <w:tcPr>
            <w:tcW w:w="2619" w:type="dxa"/>
            <w:tcBorders>
              <w:top w:val="single" w:sz="4" w:space="0" w:color="auto"/>
              <w:left w:val="single" w:sz="4" w:space="0" w:color="auto"/>
              <w:bottom w:val="single" w:sz="4" w:space="0" w:color="auto"/>
              <w:right w:val="single" w:sz="4" w:space="0" w:color="auto"/>
            </w:tcBorders>
            <w:vAlign w:val="center"/>
            <w:hideMark/>
          </w:tcPr>
          <w:p w14:paraId="75DBBADF" w14:textId="77777777" w:rsidR="00D47B54" w:rsidRPr="00063E21" w:rsidRDefault="00D47B54" w:rsidP="001B4DB7">
            <w:pPr>
              <w:spacing w:before="60" w:after="60" w:line="276" w:lineRule="auto"/>
              <w:jc w:val="center"/>
              <w:rPr>
                <w:rFonts w:ascii="Arial" w:hAnsi="Arial" w:cs="Arial"/>
                <w:b/>
                <w:bCs/>
              </w:rPr>
            </w:pPr>
            <w:r w:rsidRPr="00063E21">
              <w:rPr>
                <w:rFonts w:ascii="Arial" w:hAnsi="Arial" w:cs="Arial"/>
                <w:b/>
                <w:bCs/>
              </w:rPr>
              <w:t>X</w:t>
            </w:r>
            <w:r>
              <w:rPr>
                <w:rFonts w:ascii="Arial" w:hAnsi="Arial" w:cs="Arial"/>
                <w:b/>
                <w:bCs/>
              </w:rPr>
              <w:t xml:space="preserve"> </w:t>
            </w:r>
            <w:r w:rsidRPr="00063E21">
              <w:rPr>
                <w:rFonts w:ascii="Arial" w:hAnsi="Arial" w:cs="Arial"/>
                <w:b/>
                <w:bCs/>
                <w:lang w:val="en-US"/>
              </w:rPr>
              <w:t>=</w:t>
            </w:r>
            <w:r>
              <w:rPr>
                <w:rFonts w:ascii="Arial" w:hAnsi="Arial" w:cs="Arial"/>
                <w:b/>
                <w:bCs/>
                <w:lang w:val="en-US"/>
              </w:rPr>
              <w:t xml:space="preserve"> </w:t>
            </w:r>
            <w:r w:rsidRPr="00063E21">
              <w:rPr>
                <w:rFonts w:ascii="Arial" w:hAnsi="Arial" w:cs="Arial"/>
                <w:b/>
                <w:bCs/>
                <w:lang w:val="en-US"/>
              </w:rPr>
              <w:t>95</w:t>
            </w:r>
          </w:p>
        </w:tc>
      </w:tr>
      <w:tr w:rsidR="00D47B54" w:rsidRPr="00063E21" w14:paraId="7FBB297A" w14:textId="77777777" w:rsidTr="001B4DB7">
        <w:trPr>
          <w:cantSplit/>
          <w:trHeight w:val="583"/>
        </w:trPr>
        <w:tc>
          <w:tcPr>
            <w:tcW w:w="7440" w:type="dxa"/>
            <w:tcBorders>
              <w:top w:val="single" w:sz="4" w:space="0" w:color="auto"/>
              <w:left w:val="single" w:sz="4" w:space="0" w:color="auto"/>
              <w:bottom w:val="single" w:sz="4" w:space="0" w:color="auto"/>
              <w:right w:val="single" w:sz="4" w:space="0" w:color="auto"/>
            </w:tcBorders>
            <w:vAlign w:val="center"/>
            <w:hideMark/>
          </w:tcPr>
          <w:p w14:paraId="6654BC9B" w14:textId="615BD019" w:rsidR="00D47B54" w:rsidRPr="00E347A6" w:rsidRDefault="00D47B54" w:rsidP="001B4DB7">
            <w:pPr>
              <w:spacing w:before="60" w:after="60" w:line="276" w:lineRule="auto"/>
              <w:jc w:val="center"/>
              <w:rPr>
                <w:rFonts w:ascii="Arial" w:hAnsi="Arial" w:cs="Arial"/>
                <w:b/>
                <w:bCs/>
                <w:lang w:val="en-GB"/>
              </w:rPr>
            </w:pPr>
            <w:r w:rsidRPr="00E347A6">
              <w:rPr>
                <w:rFonts w:ascii="Arial" w:hAnsi="Arial" w:cs="Arial"/>
                <w:b/>
                <w:bCs/>
                <w:lang w:val="en-GB"/>
              </w:rPr>
              <w:t xml:space="preserve">Criterion II – Additional warranty period for the scheduled capital overhaul (KR) and scheduled </w:t>
            </w:r>
            <w:r w:rsidR="00566083">
              <w:rPr>
                <w:rFonts w:ascii="Arial" w:hAnsi="Arial" w:cs="Arial"/>
                <w:b/>
                <w:bCs/>
                <w:lang w:val="en-GB"/>
              </w:rPr>
              <w:t>(</w:t>
            </w:r>
            <w:r w:rsidRPr="00E347A6">
              <w:rPr>
                <w:rFonts w:ascii="Arial" w:hAnsi="Arial" w:cs="Arial"/>
                <w:b/>
                <w:bCs/>
                <w:lang w:val="en-GB"/>
              </w:rPr>
              <w:t>ER</w:t>
            </w:r>
            <w:r w:rsidRPr="00E347A6">
              <w:rPr>
                <w:rFonts w:ascii="Cambria Math" w:hAnsi="Cambria Math" w:cs="Cambria Math"/>
                <w:b/>
                <w:bCs/>
                <w:lang w:val="en-GB"/>
              </w:rPr>
              <w:t>‑</w:t>
            </w:r>
            <w:r w:rsidRPr="00E347A6">
              <w:rPr>
                <w:rFonts w:ascii="Arial" w:hAnsi="Arial" w:cs="Arial"/>
                <w:b/>
                <w:bCs/>
                <w:lang w:val="en-GB"/>
              </w:rPr>
              <w:t>3</w:t>
            </w:r>
            <w:r w:rsidR="00566083">
              <w:rPr>
                <w:rFonts w:ascii="Arial" w:hAnsi="Arial" w:cs="Arial"/>
                <w:b/>
                <w:bCs/>
                <w:lang w:val="en-GB"/>
              </w:rPr>
              <w:t>)</w:t>
            </w:r>
            <w:r w:rsidRPr="00E347A6">
              <w:rPr>
                <w:rFonts w:ascii="Arial" w:hAnsi="Arial" w:cs="Arial"/>
                <w:b/>
                <w:bCs/>
                <w:lang w:val="en-GB"/>
              </w:rPr>
              <w:t xml:space="preserve"> maintenance services, in months (T) </w:t>
            </w:r>
          </w:p>
        </w:tc>
        <w:tc>
          <w:tcPr>
            <w:tcW w:w="2619" w:type="dxa"/>
            <w:tcBorders>
              <w:top w:val="single" w:sz="4" w:space="0" w:color="auto"/>
              <w:left w:val="single" w:sz="4" w:space="0" w:color="auto"/>
              <w:bottom w:val="single" w:sz="4" w:space="0" w:color="auto"/>
              <w:right w:val="single" w:sz="4" w:space="0" w:color="auto"/>
            </w:tcBorders>
            <w:vAlign w:val="center"/>
            <w:hideMark/>
          </w:tcPr>
          <w:p w14:paraId="5BD46F35" w14:textId="77777777" w:rsidR="00D47B54" w:rsidRPr="00063E21" w:rsidRDefault="00D47B54" w:rsidP="001B4DB7">
            <w:pPr>
              <w:spacing w:before="60" w:after="60" w:line="276" w:lineRule="auto"/>
              <w:jc w:val="center"/>
              <w:rPr>
                <w:rFonts w:ascii="Arial" w:hAnsi="Arial" w:cs="Arial"/>
                <w:b/>
                <w:bCs/>
              </w:rPr>
            </w:pPr>
            <w:r w:rsidRPr="00063E21">
              <w:rPr>
                <w:rFonts w:ascii="Arial" w:hAnsi="Arial" w:cs="Arial"/>
                <w:b/>
                <w:bCs/>
              </w:rPr>
              <w:t>Y=5</w:t>
            </w:r>
          </w:p>
        </w:tc>
      </w:tr>
    </w:tbl>
    <w:p w14:paraId="4A333CBC" w14:textId="77777777" w:rsidR="00D47B54" w:rsidRDefault="00D47B54" w:rsidP="00D47B54">
      <w:pPr>
        <w:spacing w:before="120" w:after="60" w:line="240" w:lineRule="auto"/>
        <w:jc w:val="both"/>
        <w:rPr>
          <w:rFonts w:ascii="Arial" w:hAnsi="Arial" w:cs="Arial"/>
        </w:rPr>
      </w:pPr>
    </w:p>
    <w:p w14:paraId="2AADC540" w14:textId="54224CBA" w:rsidR="00D47B54" w:rsidRPr="00E347A6" w:rsidRDefault="00D47B54" w:rsidP="00D47B54">
      <w:pPr>
        <w:spacing w:before="120" w:after="60" w:line="240" w:lineRule="auto"/>
        <w:jc w:val="both"/>
        <w:rPr>
          <w:rFonts w:ascii="Arial" w:hAnsi="Arial" w:cs="Arial"/>
          <w:lang w:val="en-GB"/>
        </w:rPr>
      </w:pPr>
      <w:r w:rsidRPr="00E347A6">
        <w:rPr>
          <w:rFonts w:ascii="Arial" w:hAnsi="Arial" w:cs="Arial"/>
          <w:lang w:val="en-GB"/>
        </w:rPr>
        <w:t xml:space="preserve">2. The economic viability (S) of the tender will be calculated by adding the tender price (C) and the scores for the Supplementary Warranty Period for capital overhaul </w:t>
      </w:r>
      <w:r w:rsidR="00566083">
        <w:rPr>
          <w:rFonts w:ascii="Arial" w:hAnsi="Arial" w:cs="Arial"/>
          <w:lang w:val="en-GB"/>
        </w:rPr>
        <w:t>(</w:t>
      </w:r>
      <w:r w:rsidRPr="00E347A6">
        <w:rPr>
          <w:rFonts w:ascii="Arial" w:hAnsi="Arial" w:cs="Arial"/>
          <w:lang w:val="en-GB"/>
        </w:rPr>
        <w:t>KR</w:t>
      </w:r>
      <w:r w:rsidR="00566083">
        <w:rPr>
          <w:rFonts w:ascii="Arial" w:hAnsi="Arial" w:cs="Arial"/>
          <w:lang w:val="en-GB"/>
        </w:rPr>
        <w:t>)</w:t>
      </w:r>
      <w:r w:rsidRPr="00E347A6">
        <w:rPr>
          <w:rFonts w:ascii="Arial" w:hAnsi="Arial" w:cs="Arial"/>
          <w:lang w:val="en-GB"/>
        </w:rPr>
        <w:t xml:space="preserve"> and scheduled </w:t>
      </w:r>
      <w:r w:rsidR="00566083">
        <w:rPr>
          <w:rFonts w:ascii="Arial" w:hAnsi="Arial" w:cs="Arial"/>
          <w:lang w:val="en-GB"/>
        </w:rPr>
        <w:t>(</w:t>
      </w:r>
      <w:r w:rsidRPr="00E347A6">
        <w:rPr>
          <w:rFonts w:ascii="Arial" w:hAnsi="Arial" w:cs="Arial"/>
          <w:lang w:val="en-GB"/>
        </w:rPr>
        <w:t>ER</w:t>
      </w:r>
      <w:r w:rsidRPr="00E347A6">
        <w:rPr>
          <w:rFonts w:ascii="Cambria Math" w:hAnsi="Cambria Math" w:cs="Cambria Math"/>
          <w:lang w:val="en-GB"/>
        </w:rPr>
        <w:t>‑</w:t>
      </w:r>
      <w:r w:rsidRPr="00E347A6">
        <w:rPr>
          <w:rFonts w:ascii="Arial" w:hAnsi="Arial" w:cs="Arial"/>
          <w:lang w:val="en-GB"/>
        </w:rPr>
        <w:t>3</w:t>
      </w:r>
      <w:r w:rsidR="00566083">
        <w:rPr>
          <w:rFonts w:ascii="Arial" w:hAnsi="Arial" w:cs="Arial"/>
          <w:lang w:val="en-GB"/>
        </w:rPr>
        <w:t>)</w:t>
      </w:r>
      <w:r w:rsidRPr="00E347A6">
        <w:rPr>
          <w:rFonts w:ascii="Arial" w:hAnsi="Arial" w:cs="Arial"/>
          <w:lang w:val="en-GB"/>
        </w:rPr>
        <w:t xml:space="preserve"> maintenance services</w:t>
      </w:r>
      <w:r w:rsidRPr="00E347A6">
        <w:rPr>
          <w:rFonts w:ascii="Arial" w:hAnsi="Arial" w:cs="Arial"/>
          <w:b/>
          <w:bCs/>
          <w:lang w:val="en-GB"/>
        </w:rPr>
        <w:t xml:space="preserve"> (T)</w:t>
      </w:r>
      <w:r w:rsidRPr="00E347A6">
        <w:rPr>
          <w:rFonts w:eastAsiaTheme="minorEastAsia"/>
          <w:lang w:val="en-GB"/>
        </w:rPr>
        <w:t xml:space="preserve">:  </w:t>
      </w:r>
    </w:p>
    <w:p w14:paraId="6774F0A1" w14:textId="77777777" w:rsidR="00D47B54" w:rsidRPr="00A206F8" w:rsidRDefault="00D47B54" w:rsidP="00D47B54">
      <w:pPr>
        <w:spacing w:before="120" w:after="60" w:line="240" w:lineRule="auto"/>
        <w:jc w:val="center"/>
        <w:rPr>
          <w:rFonts w:ascii="Arial" w:hAnsi="Arial" w:cs="Arial"/>
          <w:iCs/>
        </w:rPr>
      </w:pPr>
      <w:r w:rsidRPr="00A206F8">
        <w:rPr>
          <w:rFonts w:ascii="Arial" w:hAnsi="Arial" w:cs="Arial"/>
          <w:iCs/>
        </w:rPr>
        <w:t>S= C+T</w:t>
      </w:r>
    </w:p>
    <w:p w14:paraId="0C403C2A" w14:textId="77777777" w:rsidR="00D47B54" w:rsidRPr="00E347A6" w:rsidRDefault="00D47B54" w:rsidP="00D47B54">
      <w:pPr>
        <w:spacing w:before="120" w:after="60" w:line="240" w:lineRule="auto"/>
        <w:jc w:val="center"/>
        <w:rPr>
          <w:rFonts w:ascii="Arial" w:hAnsi="Arial" w:cs="Arial"/>
          <w:iCs/>
          <w:lang w:val="en-GB"/>
        </w:rPr>
      </w:pPr>
    </w:p>
    <w:p w14:paraId="1750CB69" w14:textId="77777777" w:rsidR="00D47B54" w:rsidRPr="00E347A6" w:rsidRDefault="00D47B54" w:rsidP="00D47B54">
      <w:pPr>
        <w:spacing w:before="120" w:after="60" w:line="240" w:lineRule="auto"/>
        <w:rPr>
          <w:rFonts w:ascii="Arial" w:hAnsi="Arial" w:cs="Arial"/>
          <w:lang w:val="en-GB"/>
        </w:rPr>
      </w:pPr>
      <w:r w:rsidRPr="00E347A6">
        <w:rPr>
          <w:rFonts w:ascii="Arial" w:hAnsi="Arial" w:cs="Arial"/>
          <w:lang w:val="en-GB"/>
        </w:rPr>
        <w:t>3. The scores of the bid price criterion (C) are calculated by dividing the value of the lowest bid price (</w:t>
      </w:r>
      <w:proofErr w:type="spellStart"/>
      <w:r w:rsidRPr="00E347A6">
        <w:rPr>
          <w:rFonts w:ascii="Arial" w:hAnsi="Arial" w:cs="Arial"/>
          <w:lang w:val="en-GB"/>
        </w:rPr>
        <w:t>C</w:t>
      </w:r>
      <w:r w:rsidRPr="00E347A6">
        <w:rPr>
          <w:rFonts w:ascii="Arial" w:hAnsi="Arial" w:cs="Arial"/>
          <w:vertAlign w:val="subscript"/>
          <w:lang w:val="en-GB"/>
        </w:rPr>
        <w:t>min</w:t>
      </w:r>
      <w:proofErr w:type="spellEnd"/>
      <w:r w:rsidRPr="00E347A6">
        <w:rPr>
          <w:rFonts w:ascii="Arial" w:hAnsi="Arial" w:cs="Arial"/>
          <w:lang w:val="en-GB"/>
        </w:rPr>
        <w:t>) by the ratio of the value (C</w:t>
      </w:r>
      <w:r w:rsidRPr="00E347A6">
        <w:rPr>
          <w:rFonts w:ascii="Arial" w:hAnsi="Arial" w:cs="Arial"/>
          <w:vertAlign w:val="subscript"/>
          <w:lang w:val="en-GB"/>
        </w:rPr>
        <w:t>p</w:t>
      </w:r>
      <w:r w:rsidRPr="00E347A6">
        <w:rPr>
          <w:rFonts w:ascii="Arial" w:hAnsi="Arial" w:cs="Arial"/>
          <w:lang w:val="en-GB"/>
        </w:rPr>
        <w:t>) of the assessed Service Provider's price (given when filling out the table in the Bid form) by multiplying the comparative weight (X) of the price criterion:</w:t>
      </w:r>
    </w:p>
    <w:p w14:paraId="11983ECF" w14:textId="77777777" w:rsidR="00D47B54" w:rsidRPr="00E347A6" w:rsidRDefault="00D47B54" w:rsidP="00D47B54">
      <w:pPr>
        <w:spacing w:before="120" w:after="60" w:line="240" w:lineRule="auto"/>
        <w:jc w:val="both"/>
        <w:rPr>
          <w:rFonts w:ascii="Arial" w:hAnsi="Arial" w:cs="Arial"/>
          <w:lang w:val="en-GB"/>
        </w:rPr>
      </w:pPr>
    </w:p>
    <w:p w14:paraId="18AE3F80" w14:textId="77777777" w:rsidR="00D47B54" w:rsidRPr="00E347A6" w:rsidRDefault="00D47B54" w:rsidP="00D47B54">
      <w:pPr>
        <w:spacing w:before="120" w:after="60" w:line="240" w:lineRule="auto"/>
        <w:jc w:val="center"/>
        <w:rPr>
          <w:rFonts w:ascii="Arial" w:hAnsi="Arial" w:cs="Arial"/>
          <w:iCs/>
          <w:lang w:val="en-GB"/>
        </w:rPr>
      </w:pPr>
      <w:r w:rsidRPr="00E347A6">
        <w:rPr>
          <w:rFonts w:ascii="Arial" w:hAnsi="Arial" w:cs="Arial"/>
          <w:iCs/>
          <w:lang w:val="en-GB"/>
        </w:rPr>
        <w:t>C=</w:t>
      </w:r>
      <w:proofErr w:type="spellStart"/>
      <w:r w:rsidRPr="00E347A6">
        <w:rPr>
          <w:rFonts w:ascii="Arial" w:hAnsi="Arial" w:cs="Arial"/>
          <w:iCs/>
          <w:lang w:val="en-GB"/>
        </w:rPr>
        <w:t>C</w:t>
      </w:r>
      <w:r w:rsidRPr="00E347A6">
        <w:rPr>
          <w:rFonts w:ascii="Arial" w:hAnsi="Arial" w:cs="Arial"/>
          <w:iCs/>
          <w:vertAlign w:val="subscript"/>
          <w:lang w:val="en-GB"/>
        </w:rPr>
        <w:t>min</w:t>
      </w:r>
      <w:proofErr w:type="spellEnd"/>
      <w:r w:rsidRPr="00E347A6">
        <w:rPr>
          <w:rFonts w:ascii="Arial" w:hAnsi="Arial" w:cs="Arial"/>
          <w:iCs/>
          <w:lang w:val="en-GB"/>
        </w:rPr>
        <w:t xml:space="preserve"> / C</w:t>
      </w:r>
      <w:r w:rsidRPr="00E347A6">
        <w:rPr>
          <w:rFonts w:ascii="Arial" w:hAnsi="Arial" w:cs="Arial"/>
          <w:iCs/>
          <w:vertAlign w:val="subscript"/>
          <w:lang w:val="en-GB"/>
        </w:rPr>
        <w:t>p</w:t>
      </w:r>
      <w:r w:rsidRPr="00E347A6">
        <w:rPr>
          <w:rFonts w:ascii="Arial" w:hAnsi="Arial" w:cs="Arial"/>
          <w:iCs/>
          <w:lang w:val="en-GB"/>
        </w:rPr>
        <w:t>*X</w:t>
      </w:r>
    </w:p>
    <w:p w14:paraId="6FC6E318" w14:textId="77777777" w:rsidR="00D47B54" w:rsidRPr="00E347A6" w:rsidRDefault="00D47B54" w:rsidP="00D47B54">
      <w:pPr>
        <w:spacing w:before="120" w:after="60" w:line="240" w:lineRule="auto"/>
        <w:jc w:val="center"/>
        <w:rPr>
          <w:rFonts w:ascii="Arial" w:hAnsi="Arial" w:cs="Arial"/>
          <w:iCs/>
          <w:lang w:val="en-GB"/>
        </w:rPr>
      </w:pPr>
    </w:p>
    <w:p w14:paraId="3C030881" w14:textId="77777777" w:rsidR="00D47B54" w:rsidRPr="00E347A6" w:rsidRDefault="00D47B54" w:rsidP="00D47B54">
      <w:pPr>
        <w:spacing w:before="120" w:after="60" w:line="240" w:lineRule="auto"/>
        <w:rPr>
          <w:rFonts w:ascii="Arial" w:hAnsi="Arial" w:cs="Arial"/>
          <w:lang w:val="en-GB"/>
        </w:rPr>
      </w:pPr>
      <w:r w:rsidRPr="00E347A6">
        <w:rPr>
          <w:rFonts w:ascii="Arial" w:hAnsi="Arial" w:cs="Arial"/>
          <w:lang w:val="en-GB"/>
        </w:rPr>
        <w:t>4. The score for criterion (T) is calculated by multiplying the ratio between the additional warranty period in months offered by the evaluated Supplier (</w:t>
      </w:r>
      <w:proofErr w:type="spellStart"/>
      <w:r w:rsidRPr="00E347A6">
        <w:rPr>
          <w:rFonts w:ascii="Arial" w:hAnsi="Arial" w:cs="Arial"/>
          <w:lang w:val="en-GB"/>
        </w:rPr>
        <w:t>T</w:t>
      </w:r>
      <w:r w:rsidRPr="00E347A6">
        <w:rPr>
          <w:rFonts w:ascii="Arial" w:hAnsi="Arial" w:cs="Arial"/>
          <w:vertAlign w:val="subscript"/>
          <w:lang w:val="en-GB"/>
        </w:rPr>
        <w:t>p</w:t>
      </w:r>
      <w:proofErr w:type="spellEnd"/>
      <w:r w:rsidRPr="00E347A6">
        <w:rPr>
          <w:rFonts w:ascii="Arial" w:hAnsi="Arial" w:cs="Arial"/>
          <w:lang w:val="en-GB"/>
        </w:rPr>
        <w:t>) and the longest period in months offered by any Supplier (</w:t>
      </w:r>
      <w:proofErr w:type="spellStart"/>
      <w:r w:rsidRPr="00E347A6">
        <w:rPr>
          <w:rFonts w:ascii="Arial" w:hAnsi="Arial" w:cs="Arial"/>
          <w:lang w:val="en-GB"/>
        </w:rPr>
        <w:t>T</w:t>
      </w:r>
      <w:r w:rsidRPr="00E347A6">
        <w:rPr>
          <w:rFonts w:ascii="Arial" w:hAnsi="Arial" w:cs="Arial"/>
          <w:vertAlign w:val="subscript"/>
          <w:lang w:val="en-GB"/>
        </w:rPr>
        <w:t>max</w:t>
      </w:r>
      <w:proofErr w:type="spellEnd"/>
      <w:r w:rsidRPr="00E347A6">
        <w:rPr>
          <w:rFonts w:ascii="Arial" w:hAnsi="Arial" w:cs="Arial"/>
          <w:lang w:val="en-GB"/>
        </w:rPr>
        <w:t>) by the weighting coefficient (Y) assigned to this criterion:</w:t>
      </w:r>
    </w:p>
    <w:p w14:paraId="5B6A0F35" w14:textId="77777777" w:rsidR="00D47B54" w:rsidRPr="00E347A6" w:rsidRDefault="00D47B54" w:rsidP="00D47B54">
      <w:pPr>
        <w:spacing w:before="120" w:after="60" w:line="240" w:lineRule="auto"/>
        <w:ind w:left="720"/>
        <w:jc w:val="center"/>
        <w:rPr>
          <w:rFonts w:ascii="Arial" w:hAnsi="Arial" w:cs="Arial"/>
          <w:iCs/>
          <w:lang w:val="en-GB"/>
        </w:rPr>
      </w:pPr>
      <w:r w:rsidRPr="00E347A6">
        <w:rPr>
          <w:rFonts w:ascii="Arial" w:hAnsi="Arial" w:cs="Arial"/>
          <w:iCs/>
          <w:lang w:val="en-GB"/>
        </w:rPr>
        <w:t>T =</w:t>
      </w:r>
      <w:proofErr w:type="spellStart"/>
      <w:r w:rsidRPr="00E347A6">
        <w:rPr>
          <w:rFonts w:ascii="Arial" w:hAnsi="Arial" w:cs="Arial"/>
          <w:iCs/>
          <w:lang w:val="en-GB"/>
        </w:rPr>
        <w:t>T</w:t>
      </w:r>
      <w:r w:rsidRPr="00E347A6">
        <w:rPr>
          <w:rFonts w:ascii="Arial" w:hAnsi="Arial" w:cs="Arial"/>
          <w:iCs/>
          <w:vertAlign w:val="subscript"/>
          <w:lang w:val="en-GB"/>
        </w:rPr>
        <w:t>p</w:t>
      </w:r>
      <w:proofErr w:type="spellEnd"/>
      <w:r w:rsidRPr="00E347A6">
        <w:rPr>
          <w:rFonts w:ascii="Arial" w:hAnsi="Arial" w:cs="Arial"/>
          <w:iCs/>
          <w:lang w:val="en-GB"/>
        </w:rPr>
        <w:t xml:space="preserve"> / </w:t>
      </w:r>
      <w:proofErr w:type="spellStart"/>
      <w:r w:rsidRPr="00E347A6">
        <w:rPr>
          <w:rFonts w:ascii="Arial" w:hAnsi="Arial" w:cs="Arial"/>
          <w:iCs/>
          <w:lang w:val="en-GB"/>
        </w:rPr>
        <w:t>T</w:t>
      </w:r>
      <w:r w:rsidRPr="00E347A6">
        <w:rPr>
          <w:rFonts w:ascii="Arial" w:hAnsi="Arial" w:cs="Arial"/>
          <w:iCs/>
          <w:vertAlign w:val="subscript"/>
          <w:lang w:val="en-GB"/>
        </w:rPr>
        <w:t>max</w:t>
      </w:r>
      <w:proofErr w:type="spellEnd"/>
      <w:r w:rsidRPr="00E347A6">
        <w:rPr>
          <w:rFonts w:ascii="Arial" w:hAnsi="Arial" w:cs="Arial"/>
          <w:iCs/>
          <w:lang w:val="en-GB"/>
        </w:rPr>
        <w:t>* Y</w:t>
      </w:r>
    </w:p>
    <w:p w14:paraId="0ED65600" w14:textId="77777777" w:rsidR="00D47B54" w:rsidRPr="00E347A6" w:rsidRDefault="00D47B54" w:rsidP="00D47B54">
      <w:pPr>
        <w:spacing w:before="120" w:after="60" w:line="240" w:lineRule="auto"/>
        <w:rPr>
          <w:rFonts w:ascii="Arial" w:hAnsi="Arial" w:cs="Arial"/>
          <w:i/>
          <w:lang w:val="en-GB"/>
        </w:rPr>
      </w:pPr>
    </w:p>
    <w:p w14:paraId="4FADE723" w14:textId="77777777" w:rsidR="00D47B54" w:rsidRPr="00E347A6" w:rsidRDefault="00D47B54" w:rsidP="00D47B54">
      <w:pPr>
        <w:jc w:val="both"/>
        <w:rPr>
          <w:rFonts w:ascii="Arial" w:hAnsi="Arial" w:cs="Arial"/>
          <w:lang w:val="en-GB"/>
        </w:rPr>
      </w:pPr>
      <w:r w:rsidRPr="00E347A6">
        <w:rPr>
          <w:rFonts w:ascii="Arial" w:hAnsi="Arial" w:cs="Arial"/>
          <w:lang w:val="en-GB"/>
        </w:rPr>
        <w:t>5.</w:t>
      </w:r>
      <w:r w:rsidRPr="00E347A6">
        <w:rPr>
          <w:lang w:val="en-GB"/>
        </w:rPr>
        <w:t xml:space="preserve"> </w:t>
      </w:r>
      <w:r w:rsidRPr="00E347A6">
        <w:rPr>
          <w:rFonts w:ascii="Arial" w:hAnsi="Arial" w:cs="Arial"/>
          <w:lang w:val="en-GB"/>
        </w:rPr>
        <w:t>If the additional warranty period (</w:t>
      </w:r>
      <w:proofErr w:type="spellStart"/>
      <w:r w:rsidRPr="00E347A6">
        <w:rPr>
          <w:rFonts w:ascii="Arial" w:hAnsi="Arial" w:cs="Arial"/>
          <w:lang w:val="en-GB"/>
        </w:rPr>
        <w:t>T</w:t>
      </w:r>
      <w:r w:rsidRPr="00E347A6">
        <w:rPr>
          <w:rFonts w:ascii="Arial" w:hAnsi="Arial" w:cs="Arial"/>
          <w:vertAlign w:val="subscript"/>
          <w:lang w:val="en-GB"/>
        </w:rPr>
        <w:t>p</w:t>
      </w:r>
      <w:proofErr w:type="spellEnd"/>
      <w:r w:rsidRPr="00E347A6">
        <w:rPr>
          <w:rFonts w:ascii="Arial" w:hAnsi="Arial" w:cs="Arial"/>
          <w:lang w:val="en-GB"/>
        </w:rPr>
        <w:t xml:space="preserve">) offered by each Supplier is 0, the value of the proposal criterion (T) assigned to each Supplier shall be 0. </w:t>
      </w:r>
    </w:p>
    <w:p w14:paraId="5D88F8D6" w14:textId="77777777" w:rsidR="00D47B54" w:rsidRPr="00E347A6" w:rsidRDefault="00D47B54" w:rsidP="00D47B54">
      <w:pPr>
        <w:jc w:val="both"/>
        <w:rPr>
          <w:rFonts w:ascii="Arial" w:hAnsi="Arial" w:cs="Arial"/>
          <w:lang w:val="en-GB"/>
        </w:rPr>
      </w:pPr>
      <w:r w:rsidRPr="00E347A6">
        <w:rPr>
          <w:rFonts w:ascii="Arial" w:hAnsi="Arial" w:cs="Arial"/>
          <w:lang w:val="en-GB"/>
        </w:rPr>
        <w:t>6. The offer with the highest economic efficiency score S is recognized as the most economically useful bus</w:t>
      </w:r>
    </w:p>
    <w:p w14:paraId="6ABF22C0" w14:textId="77777777" w:rsidR="00D47B54" w:rsidRPr="00E347A6" w:rsidRDefault="00D47B54" w:rsidP="00D47B54">
      <w:pPr>
        <w:jc w:val="both"/>
        <w:rPr>
          <w:rFonts w:ascii="Arial" w:hAnsi="Arial" w:cs="Arial"/>
          <w:lang w:val="en-GB"/>
        </w:rPr>
      </w:pPr>
      <w:r w:rsidRPr="00E347A6">
        <w:rPr>
          <w:rFonts w:ascii="Arial" w:hAnsi="Arial" w:cs="Arial"/>
          <w:lang w:val="en-GB"/>
        </w:rPr>
        <w:t>7. If the supplier who was offered to conclude a procurement contract refuses to conclude it in writing or for other reasons the supplier is removed from the procurement procedures or its proposal is rejected in accordance with the law and the procurement documents, in this case the points of economic usefulness are recalculated, and the most economically beneficial proposal will be recognized, having collected the highest score of economic utility S.</w:t>
      </w:r>
    </w:p>
    <w:p w14:paraId="41A50700" w14:textId="77777777" w:rsidR="00D47B54" w:rsidRPr="00E347A6" w:rsidRDefault="00D47B54" w:rsidP="00D47B54">
      <w:pPr>
        <w:jc w:val="both"/>
        <w:rPr>
          <w:rFonts w:ascii="Arial" w:hAnsi="Arial" w:cs="Arial"/>
          <w:lang w:val="en-GB"/>
        </w:rPr>
      </w:pPr>
      <w:r w:rsidRPr="00E347A6">
        <w:rPr>
          <w:rFonts w:ascii="Arial" w:hAnsi="Arial" w:cs="Arial"/>
          <w:lang w:val="en-GB"/>
        </w:rPr>
        <w:t>8</w:t>
      </w:r>
      <w:r w:rsidRPr="00E347A6">
        <w:rPr>
          <w:lang w:val="en-GB"/>
        </w:rPr>
        <w:t xml:space="preserve">. </w:t>
      </w:r>
      <w:r w:rsidRPr="00E347A6">
        <w:rPr>
          <w:rFonts w:ascii="Arial" w:hAnsi="Arial" w:cs="Arial"/>
          <w:lang w:val="en-GB"/>
        </w:rPr>
        <w:t>In the evaluation of economic utility, the calculations are rounded to (2) two decimal places according to the rules of mathematics.</w:t>
      </w:r>
    </w:p>
    <w:p w14:paraId="4577795B" w14:textId="73C9F8EE" w:rsidR="005C5BF5" w:rsidRPr="00063E21" w:rsidRDefault="005C5BF5" w:rsidP="619B9EFC">
      <w:pPr>
        <w:jc w:val="both"/>
        <w:rPr>
          <w:rFonts w:ascii="Arial" w:hAnsi="Arial" w:cs="Arial"/>
        </w:rPr>
      </w:pPr>
    </w:p>
    <w:sectPr w:rsidR="005C5BF5" w:rsidRPr="00063E21" w:rsidSect="00B71618">
      <w:headerReference w:type="even" r:id="rId10"/>
      <w:headerReference w:type="default" r:id="rId11"/>
      <w:footerReference w:type="even" r:id="rId12"/>
      <w:footerReference w:type="default" r:id="rId13"/>
      <w:headerReference w:type="first" r:id="rId14"/>
      <w:footerReference w:type="first" r:id="rId15"/>
      <w:pgSz w:w="11906" w:h="16838"/>
      <w:pgMar w:top="1418" w:right="680" w:bottom="1134" w:left="96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926CFF" w14:textId="77777777" w:rsidR="004F315F" w:rsidRDefault="004F315F" w:rsidP="00197F1B">
      <w:pPr>
        <w:spacing w:after="0" w:line="240" w:lineRule="auto"/>
      </w:pPr>
      <w:r>
        <w:separator/>
      </w:r>
    </w:p>
  </w:endnote>
  <w:endnote w:type="continuationSeparator" w:id="0">
    <w:p w14:paraId="5EB28878" w14:textId="77777777" w:rsidR="004F315F" w:rsidRDefault="004F315F" w:rsidP="00197F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DB106" w14:textId="77777777" w:rsidR="00197F1B" w:rsidRDefault="00197F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B2D59" w14:textId="77777777" w:rsidR="00197F1B" w:rsidRDefault="00197F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19002" w14:textId="77777777" w:rsidR="00197F1B" w:rsidRDefault="00197F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8A45BD" w14:textId="77777777" w:rsidR="004F315F" w:rsidRDefault="004F315F" w:rsidP="00197F1B">
      <w:pPr>
        <w:spacing w:after="0" w:line="240" w:lineRule="auto"/>
      </w:pPr>
      <w:r>
        <w:separator/>
      </w:r>
    </w:p>
  </w:footnote>
  <w:footnote w:type="continuationSeparator" w:id="0">
    <w:p w14:paraId="40AAABD1" w14:textId="77777777" w:rsidR="004F315F" w:rsidRDefault="004F315F" w:rsidP="00197F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CAC79" w14:textId="77777777" w:rsidR="00197F1B" w:rsidRDefault="00197F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0732E6" w14:textId="0A3C0923" w:rsidR="00197F1B" w:rsidRDefault="00197F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B6BDE" w14:textId="77777777" w:rsidR="00197F1B" w:rsidRDefault="00197F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02A69"/>
    <w:multiLevelType w:val="multilevel"/>
    <w:tmpl w:val="265AC68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15AA5D8B"/>
    <w:multiLevelType w:val="hybridMultilevel"/>
    <w:tmpl w:val="053C1784"/>
    <w:lvl w:ilvl="0" w:tplc="0427000F">
      <w:start w:val="1"/>
      <w:numFmt w:val="decimal"/>
      <w:lvlText w:val="%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2D6C3EB0"/>
    <w:multiLevelType w:val="multilevel"/>
    <w:tmpl w:val="BAE200F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E1348F7"/>
    <w:multiLevelType w:val="hybridMultilevel"/>
    <w:tmpl w:val="6D3CFE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DF20FD"/>
    <w:multiLevelType w:val="multilevel"/>
    <w:tmpl w:val="265AC68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5" w15:restartNumberingAfterBreak="0">
    <w:nsid w:val="42D93F24"/>
    <w:multiLevelType w:val="hybridMultilevel"/>
    <w:tmpl w:val="DC509FBE"/>
    <w:lvl w:ilvl="0" w:tplc="EDC419C4">
      <w:start w:val="1"/>
      <w:numFmt w:val="decimal"/>
      <w:lvlText w:val="%1)"/>
      <w:lvlJc w:val="left"/>
      <w:pPr>
        <w:ind w:left="720" w:hanging="360"/>
      </w:pPr>
    </w:lvl>
    <w:lvl w:ilvl="1" w:tplc="FE30368A">
      <w:start w:val="1"/>
      <w:numFmt w:val="lowerLetter"/>
      <w:lvlText w:val="%2."/>
      <w:lvlJc w:val="left"/>
      <w:pPr>
        <w:ind w:left="1440" w:hanging="360"/>
      </w:pPr>
    </w:lvl>
    <w:lvl w:ilvl="2" w:tplc="AA10C0C4">
      <w:start w:val="1"/>
      <w:numFmt w:val="lowerRoman"/>
      <w:lvlText w:val="%3."/>
      <w:lvlJc w:val="right"/>
      <w:pPr>
        <w:ind w:left="2160" w:hanging="180"/>
      </w:pPr>
    </w:lvl>
    <w:lvl w:ilvl="3" w:tplc="8FFC57FA">
      <w:start w:val="1"/>
      <w:numFmt w:val="decimal"/>
      <w:lvlText w:val="%4."/>
      <w:lvlJc w:val="left"/>
      <w:pPr>
        <w:ind w:left="2880" w:hanging="360"/>
      </w:pPr>
    </w:lvl>
    <w:lvl w:ilvl="4" w:tplc="6E180A48">
      <w:start w:val="1"/>
      <w:numFmt w:val="lowerLetter"/>
      <w:lvlText w:val="%5."/>
      <w:lvlJc w:val="left"/>
      <w:pPr>
        <w:ind w:left="3600" w:hanging="360"/>
      </w:pPr>
    </w:lvl>
    <w:lvl w:ilvl="5" w:tplc="E27AE2BE">
      <w:start w:val="1"/>
      <w:numFmt w:val="lowerRoman"/>
      <w:lvlText w:val="%6."/>
      <w:lvlJc w:val="right"/>
      <w:pPr>
        <w:ind w:left="4320" w:hanging="180"/>
      </w:pPr>
    </w:lvl>
    <w:lvl w:ilvl="6" w:tplc="169009CE">
      <w:start w:val="1"/>
      <w:numFmt w:val="decimal"/>
      <w:lvlText w:val="%7."/>
      <w:lvlJc w:val="left"/>
      <w:pPr>
        <w:ind w:left="5040" w:hanging="360"/>
      </w:pPr>
    </w:lvl>
    <w:lvl w:ilvl="7" w:tplc="862A7EEC">
      <w:start w:val="1"/>
      <w:numFmt w:val="lowerLetter"/>
      <w:lvlText w:val="%8."/>
      <w:lvlJc w:val="left"/>
      <w:pPr>
        <w:ind w:left="5760" w:hanging="360"/>
      </w:pPr>
    </w:lvl>
    <w:lvl w:ilvl="8" w:tplc="86FCE5DA">
      <w:start w:val="1"/>
      <w:numFmt w:val="lowerRoman"/>
      <w:lvlText w:val="%9."/>
      <w:lvlJc w:val="right"/>
      <w:pPr>
        <w:ind w:left="6480" w:hanging="180"/>
      </w:pPr>
    </w:lvl>
  </w:abstractNum>
  <w:abstractNum w:abstractNumId="6" w15:restartNumberingAfterBreak="0">
    <w:nsid w:val="67FC7C4E"/>
    <w:multiLevelType w:val="hybridMultilevel"/>
    <w:tmpl w:val="2CC25952"/>
    <w:lvl w:ilvl="0" w:tplc="3B2EDE42">
      <w:start w:val="1"/>
      <w:numFmt w:val="lowerLetter"/>
      <w:lvlText w:val="%1)"/>
      <w:lvlJc w:val="left"/>
      <w:pPr>
        <w:ind w:left="2911" w:hanging="360"/>
      </w:pPr>
      <w:rPr>
        <w:rFonts w:hint="default"/>
      </w:rPr>
    </w:lvl>
    <w:lvl w:ilvl="1" w:tplc="04270019" w:tentative="1">
      <w:start w:val="1"/>
      <w:numFmt w:val="lowerLetter"/>
      <w:lvlText w:val="%2."/>
      <w:lvlJc w:val="left"/>
      <w:pPr>
        <w:ind w:left="3631" w:hanging="360"/>
      </w:pPr>
    </w:lvl>
    <w:lvl w:ilvl="2" w:tplc="0427001B" w:tentative="1">
      <w:start w:val="1"/>
      <w:numFmt w:val="lowerRoman"/>
      <w:lvlText w:val="%3."/>
      <w:lvlJc w:val="right"/>
      <w:pPr>
        <w:ind w:left="4351" w:hanging="180"/>
      </w:pPr>
    </w:lvl>
    <w:lvl w:ilvl="3" w:tplc="0427000F" w:tentative="1">
      <w:start w:val="1"/>
      <w:numFmt w:val="decimal"/>
      <w:lvlText w:val="%4."/>
      <w:lvlJc w:val="left"/>
      <w:pPr>
        <w:ind w:left="5071" w:hanging="360"/>
      </w:pPr>
    </w:lvl>
    <w:lvl w:ilvl="4" w:tplc="04270019" w:tentative="1">
      <w:start w:val="1"/>
      <w:numFmt w:val="lowerLetter"/>
      <w:lvlText w:val="%5."/>
      <w:lvlJc w:val="left"/>
      <w:pPr>
        <w:ind w:left="5791" w:hanging="360"/>
      </w:pPr>
    </w:lvl>
    <w:lvl w:ilvl="5" w:tplc="0427001B" w:tentative="1">
      <w:start w:val="1"/>
      <w:numFmt w:val="lowerRoman"/>
      <w:lvlText w:val="%6."/>
      <w:lvlJc w:val="right"/>
      <w:pPr>
        <w:ind w:left="6511" w:hanging="180"/>
      </w:pPr>
    </w:lvl>
    <w:lvl w:ilvl="6" w:tplc="0427000F" w:tentative="1">
      <w:start w:val="1"/>
      <w:numFmt w:val="decimal"/>
      <w:lvlText w:val="%7."/>
      <w:lvlJc w:val="left"/>
      <w:pPr>
        <w:ind w:left="7231" w:hanging="360"/>
      </w:pPr>
    </w:lvl>
    <w:lvl w:ilvl="7" w:tplc="04270019" w:tentative="1">
      <w:start w:val="1"/>
      <w:numFmt w:val="lowerLetter"/>
      <w:lvlText w:val="%8."/>
      <w:lvlJc w:val="left"/>
      <w:pPr>
        <w:ind w:left="7951" w:hanging="360"/>
      </w:pPr>
    </w:lvl>
    <w:lvl w:ilvl="8" w:tplc="0427001B" w:tentative="1">
      <w:start w:val="1"/>
      <w:numFmt w:val="lowerRoman"/>
      <w:lvlText w:val="%9."/>
      <w:lvlJc w:val="right"/>
      <w:pPr>
        <w:ind w:left="8671" w:hanging="180"/>
      </w:pPr>
    </w:lvl>
  </w:abstractNum>
  <w:abstractNum w:abstractNumId="7" w15:restartNumberingAfterBreak="0">
    <w:nsid w:val="7813405B"/>
    <w:multiLevelType w:val="hybridMultilevel"/>
    <w:tmpl w:val="DF4AB674"/>
    <w:lvl w:ilvl="0" w:tplc="39700186">
      <w:start w:val="35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BA36EBB"/>
    <w:multiLevelType w:val="hybridMultilevel"/>
    <w:tmpl w:val="8F402190"/>
    <w:lvl w:ilvl="0" w:tplc="FFFFFFFF">
      <w:start w:val="1"/>
      <w:numFmt w:val="decimal"/>
      <w:lvlText w:val="%1."/>
      <w:lvlJc w:val="left"/>
      <w:pPr>
        <w:ind w:left="360" w:hanging="360"/>
      </w:pPr>
      <w:rPr>
        <w:rFonts w:cs="Times New Roman"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7003999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789140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66836689">
    <w:abstractNumId w:val="1"/>
  </w:num>
  <w:num w:numId="4" w16cid:durableId="104013244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20253041">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9495967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1664865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7556449">
    <w:abstractNumId w:val="7"/>
  </w:num>
  <w:num w:numId="9" w16cid:durableId="1079837780">
    <w:abstractNumId w:val="3"/>
  </w:num>
  <w:num w:numId="10" w16cid:durableId="17428668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F1B"/>
    <w:rsid w:val="000068E8"/>
    <w:rsid w:val="00015B09"/>
    <w:rsid w:val="000467E2"/>
    <w:rsid w:val="00063E21"/>
    <w:rsid w:val="00066BB8"/>
    <w:rsid w:val="00085C38"/>
    <w:rsid w:val="000D7DEE"/>
    <w:rsid w:val="000E1C1D"/>
    <w:rsid w:val="000E585F"/>
    <w:rsid w:val="000E77ED"/>
    <w:rsid w:val="000F5BA5"/>
    <w:rsid w:val="00101F6D"/>
    <w:rsid w:val="00135CBF"/>
    <w:rsid w:val="00153D74"/>
    <w:rsid w:val="001673D4"/>
    <w:rsid w:val="001856F6"/>
    <w:rsid w:val="001918DB"/>
    <w:rsid w:val="0019597C"/>
    <w:rsid w:val="00197F1B"/>
    <w:rsid w:val="001B21AE"/>
    <w:rsid w:val="001C0C5C"/>
    <w:rsid w:val="001D21B8"/>
    <w:rsid w:val="001E65FB"/>
    <w:rsid w:val="00214F90"/>
    <w:rsid w:val="002155C6"/>
    <w:rsid w:val="00220C38"/>
    <w:rsid w:val="00233A50"/>
    <w:rsid w:val="00247621"/>
    <w:rsid w:val="00256F61"/>
    <w:rsid w:val="00286E0C"/>
    <w:rsid w:val="002A0A69"/>
    <w:rsid w:val="002B24FE"/>
    <w:rsid w:val="002C0038"/>
    <w:rsid w:val="002C3B85"/>
    <w:rsid w:val="002E10D3"/>
    <w:rsid w:val="002F0067"/>
    <w:rsid w:val="002F16BC"/>
    <w:rsid w:val="002F2C54"/>
    <w:rsid w:val="00310ECC"/>
    <w:rsid w:val="003441A8"/>
    <w:rsid w:val="003537D2"/>
    <w:rsid w:val="003819C1"/>
    <w:rsid w:val="0039277F"/>
    <w:rsid w:val="003A0C10"/>
    <w:rsid w:val="003C2230"/>
    <w:rsid w:val="003D046F"/>
    <w:rsid w:val="003D0583"/>
    <w:rsid w:val="003E1D03"/>
    <w:rsid w:val="003E2354"/>
    <w:rsid w:val="003E6591"/>
    <w:rsid w:val="003F713F"/>
    <w:rsid w:val="003F72C0"/>
    <w:rsid w:val="00405524"/>
    <w:rsid w:val="00407889"/>
    <w:rsid w:val="00407E6A"/>
    <w:rsid w:val="004153FD"/>
    <w:rsid w:val="00417033"/>
    <w:rsid w:val="004408FB"/>
    <w:rsid w:val="004A74D7"/>
    <w:rsid w:val="004C6801"/>
    <w:rsid w:val="004F07E2"/>
    <w:rsid w:val="004F170D"/>
    <w:rsid w:val="004F315F"/>
    <w:rsid w:val="00513266"/>
    <w:rsid w:val="00523015"/>
    <w:rsid w:val="00530DE4"/>
    <w:rsid w:val="00531A07"/>
    <w:rsid w:val="0056570A"/>
    <w:rsid w:val="00566083"/>
    <w:rsid w:val="00573385"/>
    <w:rsid w:val="00582E96"/>
    <w:rsid w:val="005A3636"/>
    <w:rsid w:val="005A7E95"/>
    <w:rsid w:val="005C3F38"/>
    <w:rsid w:val="005C5BF5"/>
    <w:rsid w:val="005C6951"/>
    <w:rsid w:val="005D7CE6"/>
    <w:rsid w:val="00620EE5"/>
    <w:rsid w:val="0062570B"/>
    <w:rsid w:val="006427A3"/>
    <w:rsid w:val="0065068A"/>
    <w:rsid w:val="006A2E46"/>
    <w:rsid w:val="006B03EE"/>
    <w:rsid w:val="006E7FE8"/>
    <w:rsid w:val="006F517A"/>
    <w:rsid w:val="006F5AF5"/>
    <w:rsid w:val="0070097F"/>
    <w:rsid w:val="007044FB"/>
    <w:rsid w:val="00720407"/>
    <w:rsid w:val="00735E15"/>
    <w:rsid w:val="007369B5"/>
    <w:rsid w:val="00757051"/>
    <w:rsid w:val="007641AA"/>
    <w:rsid w:val="007720E4"/>
    <w:rsid w:val="007B1CC6"/>
    <w:rsid w:val="007C3444"/>
    <w:rsid w:val="007C4050"/>
    <w:rsid w:val="007E1DCE"/>
    <w:rsid w:val="00816DD7"/>
    <w:rsid w:val="00816F65"/>
    <w:rsid w:val="0083146B"/>
    <w:rsid w:val="008373F9"/>
    <w:rsid w:val="00837F55"/>
    <w:rsid w:val="008445DD"/>
    <w:rsid w:val="00855C28"/>
    <w:rsid w:val="008A65BD"/>
    <w:rsid w:val="008C39B3"/>
    <w:rsid w:val="008E12CF"/>
    <w:rsid w:val="008E5A13"/>
    <w:rsid w:val="009004F7"/>
    <w:rsid w:val="009138B7"/>
    <w:rsid w:val="00920B56"/>
    <w:rsid w:val="00920BE8"/>
    <w:rsid w:val="00923EA8"/>
    <w:rsid w:val="0093555F"/>
    <w:rsid w:val="009412E1"/>
    <w:rsid w:val="00957A08"/>
    <w:rsid w:val="00973EB8"/>
    <w:rsid w:val="009745F1"/>
    <w:rsid w:val="0097607D"/>
    <w:rsid w:val="009762A7"/>
    <w:rsid w:val="00985044"/>
    <w:rsid w:val="009922F1"/>
    <w:rsid w:val="009C3405"/>
    <w:rsid w:val="00A10DDF"/>
    <w:rsid w:val="00A23AAF"/>
    <w:rsid w:val="00A25A83"/>
    <w:rsid w:val="00A40C47"/>
    <w:rsid w:val="00A51DA5"/>
    <w:rsid w:val="00A71B9C"/>
    <w:rsid w:val="00A77C53"/>
    <w:rsid w:val="00A940BD"/>
    <w:rsid w:val="00AA303B"/>
    <w:rsid w:val="00AA748A"/>
    <w:rsid w:val="00AB482A"/>
    <w:rsid w:val="00AB7804"/>
    <w:rsid w:val="00AD1175"/>
    <w:rsid w:val="00AD2E5E"/>
    <w:rsid w:val="00AE28BD"/>
    <w:rsid w:val="00B24461"/>
    <w:rsid w:val="00B26F7F"/>
    <w:rsid w:val="00B53479"/>
    <w:rsid w:val="00B64269"/>
    <w:rsid w:val="00B66F8F"/>
    <w:rsid w:val="00B71618"/>
    <w:rsid w:val="00BB40F4"/>
    <w:rsid w:val="00BC383B"/>
    <w:rsid w:val="00BC79EC"/>
    <w:rsid w:val="00BE2943"/>
    <w:rsid w:val="00BF12E0"/>
    <w:rsid w:val="00C1403F"/>
    <w:rsid w:val="00C236D5"/>
    <w:rsid w:val="00C31F1E"/>
    <w:rsid w:val="00C424C1"/>
    <w:rsid w:val="00C44E2D"/>
    <w:rsid w:val="00C75A9F"/>
    <w:rsid w:val="00C778D7"/>
    <w:rsid w:val="00C8463C"/>
    <w:rsid w:val="00C94E29"/>
    <w:rsid w:val="00C96993"/>
    <w:rsid w:val="00CC34ED"/>
    <w:rsid w:val="00CC58C8"/>
    <w:rsid w:val="00CD6E9A"/>
    <w:rsid w:val="00CE4005"/>
    <w:rsid w:val="00CE5141"/>
    <w:rsid w:val="00D1104A"/>
    <w:rsid w:val="00D23EF3"/>
    <w:rsid w:val="00D265AC"/>
    <w:rsid w:val="00D47B54"/>
    <w:rsid w:val="00D607AC"/>
    <w:rsid w:val="00D8233D"/>
    <w:rsid w:val="00D90AB2"/>
    <w:rsid w:val="00D937F0"/>
    <w:rsid w:val="00DA04F3"/>
    <w:rsid w:val="00DA44C2"/>
    <w:rsid w:val="00DB45B4"/>
    <w:rsid w:val="00DB7802"/>
    <w:rsid w:val="00DD628B"/>
    <w:rsid w:val="00DE1D34"/>
    <w:rsid w:val="00DE41AD"/>
    <w:rsid w:val="00DF3F04"/>
    <w:rsid w:val="00E1611C"/>
    <w:rsid w:val="00E44313"/>
    <w:rsid w:val="00E4497E"/>
    <w:rsid w:val="00E46CD1"/>
    <w:rsid w:val="00E54ACE"/>
    <w:rsid w:val="00E62926"/>
    <w:rsid w:val="00E64CD6"/>
    <w:rsid w:val="00E66D69"/>
    <w:rsid w:val="00E67335"/>
    <w:rsid w:val="00E85D65"/>
    <w:rsid w:val="00E8786C"/>
    <w:rsid w:val="00EA2461"/>
    <w:rsid w:val="00EA353E"/>
    <w:rsid w:val="00EC10D8"/>
    <w:rsid w:val="00EC69E8"/>
    <w:rsid w:val="00EE0D70"/>
    <w:rsid w:val="00EE1AED"/>
    <w:rsid w:val="00EF0FFB"/>
    <w:rsid w:val="00EF5FDB"/>
    <w:rsid w:val="00F03CC1"/>
    <w:rsid w:val="00F05B90"/>
    <w:rsid w:val="00F36BDF"/>
    <w:rsid w:val="00F431FA"/>
    <w:rsid w:val="00F437EE"/>
    <w:rsid w:val="00F54F92"/>
    <w:rsid w:val="00F558EF"/>
    <w:rsid w:val="00F741FE"/>
    <w:rsid w:val="00F85DEB"/>
    <w:rsid w:val="00FA7E4F"/>
    <w:rsid w:val="00FB0C5C"/>
    <w:rsid w:val="00FB7B3C"/>
    <w:rsid w:val="00FD3BF0"/>
    <w:rsid w:val="00FD6C5D"/>
    <w:rsid w:val="00FE5343"/>
    <w:rsid w:val="01C78C6B"/>
    <w:rsid w:val="01F16B92"/>
    <w:rsid w:val="025C60AF"/>
    <w:rsid w:val="03757A99"/>
    <w:rsid w:val="04AFCD6F"/>
    <w:rsid w:val="04EF2D3E"/>
    <w:rsid w:val="0AC97AFA"/>
    <w:rsid w:val="0B6BD4FF"/>
    <w:rsid w:val="0CE4C6AB"/>
    <w:rsid w:val="0FE67396"/>
    <w:rsid w:val="11C46E94"/>
    <w:rsid w:val="12462FE8"/>
    <w:rsid w:val="13CFC488"/>
    <w:rsid w:val="16A90D38"/>
    <w:rsid w:val="1751EFDD"/>
    <w:rsid w:val="19BFD1E6"/>
    <w:rsid w:val="1B84DF01"/>
    <w:rsid w:val="1DA7807C"/>
    <w:rsid w:val="1EF149A2"/>
    <w:rsid w:val="258B2E4F"/>
    <w:rsid w:val="26F43B8B"/>
    <w:rsid w:val="2A7455D8"/>
    <w:rsid w:val="2D7662B0"/>
    <w:rsid w:val="30CA77F3"/>
    <w:rsid w:val="31BC9218"/>
    <w:rsid w:val="32C0372E"/>
    <w:rsid w:val="361532C7"/>
    <w:rsid w:val="36A8E254"/>
    <w:rsid w:val="3B7F11DC"/>
    <w:rsid w:val="3CD0D46B"/>
    <w:rsid w:val="3D9D9A8B"/>
    <w:rsid w:val="46E87BFE"/>
    <w:rsid w:val="473D1B4F"/>
    <w:rsid w:val="48F4AE30"/>
    <w:rsid w:val="4E97D659"/>
    <w:rsid w:val="4F89C6D2"/>
    <w:rsid w:val="53BD2B14"/>
    <w:rsid w:val="567E1044"/>
    <w:rsid w:val="5699671A"/>
    <w:rsid w:val="590410E7"/>
    <w:rsid w:val="59174BEF"/>
    <w:rsid w:val="5A642930"/>
    <w:rsid w:val="5E0A134A"/>
    <w:rsid w:val="5EAFE227"/>
    <w:rsid w:val="619B9EFC"/>
    <w:rsid w:val="620838F7"/>
    <w:rsid w:val="6329587A"/>
    <w:rsid w:val="6946C1F9"/>
    <w:rsid w:val="6BE70245"/>
    <w:rsid w:val="6F0E04E7"/>
    <w:rsid w:val="7232BD1F"/>
    <w:rsid w:val="773BCFB5"/>
    <w:rsid w:val="7C231E7A"/>
    <w:rsid w:val="7FE45C1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17C735"/>
  <w15:chartTrackingRefBased/>
  <w15:docId w15:val="{3BCA3E83-D616-47E2-BC54-0D10D8578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1F6D"/>
  </w:style>
  <w:style w:type="paragraph" w:styleId="Heading2">
    <w:name w:val="heading 2"/>
    <w:basedOn w:val="Normal"/>
    <w:next w:val="Normal"/>
    <w:link w:val="Heading2Char"/>
    <w:uiPriority w:val="99"/>
    <w:unhideWhenUsed/>
    <w:qFormat/>
    <w:rsid w:val="00197F1B"/>
    <w:pPr>
      <w:keepNext/>
      <w:spacing w:before="240" w:after="60" w:line="240" w:lineRule="auto"/>
      <w:outlineLvl w:val="1"/>
    </w:pPr>
    <w:rPr>
      <w:rFonts w:ascii="Cambria" w:eastAsia="Times New Roman" w:hAnsi="Cambria" w:cs="Times New Roman"/>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197F1B"/>
    <w:rPr>
      <w:rFonts w:ascii="Cambria" w:eastAsia="Times New Roman" w:hAnsi="Cambria" w:cs="Times New Roman"/>
      <w:b/>
      <w:bCs/>
      <w:i/>
      <w:iCs/>
      <w:sz w:val="28"/>
      <w:szCs w:val="28"/>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197F1B"/>
    <w:pPr>
      <w:spacing w:after="0" w:line="240" w:lineRule="auto"/>
      <w:ind w:left="720"/>
      <w:contextualSpacing/>
    </w:pPr>
    <w:rPr>
      <w:rFonts w:ascii="Times New Roman" w:eastAsia="Times New Roman" w:hAnsi="Times New Roman" w:cs="Times New Roman"/>
      <w:sz w:val="24"/>
      <w:szCs w:val="24"/>
    </w:rPr>
  </w:style>
  <w:style w:type="table" w:styleId="TableGrid">
    <w:name w:val="Table Grid"/>
    <w:basedOn w:val="TableNormal"/>
    <w:uiPriority w:val="99"/>
    <w:rsid w:val="00197F1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locked/>
    <w:rsid w:val="00197F1B"/>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197F1B"/>
    <w:pPr>
      <w:tabs>
        <w:tab w:val="center" w:pos="4819"/>
        <w:tab w:val="right" w:pos="9638"/>
      </w:tabs>
      <w:spacing w:after="0" w:line="240" w:lineRule="auto"/>
    </w:pPr>
  </w:style>
  <w:style w:type="character" w:customStyle="1" w:styleId="HeaderChar">
    <w:name w:val="Header Char"/>
    <w:basedOn w:val="DefaultParagraphFont"/>
    <w:link w:val="Header"/>
    <w:uiPriority w:val="99"/>
    <w:rsid w:val="00197F1B"/>
  </w:style>
  <w:style w:type="paragraph" w:styleId="Footer">
    <w:name w:val="footer"/>
    <w:basedOn w:val="Normal"/>
    <w:link w:val="FooterChar"/>
    <w:uiPriority w:val="99"/>
    <w:unhideWhenUsed/>
    <w:rsid w:val="00197F1B"/>
    <w:pPr>
      <w:tabs>
        <w:tab w:val="center" w:pos="4819"/>
        <w:tab w:val="right" w:pos="9638"/>
      </w:tabs>
      <w:spacing w:after="0" w:line="240" w:lineRule="auto"/>
    </w:pPr>
  </w:style>
  <w:style w:type="character" w:customStyle="1" w:styleId="FooterChar">
    <w:name w:val="Footer Char"/>
    <w:basedOn w:val="DefaultParagraphFont"/>
    <w:link w:val="Footer"/>
    <w:uiPriority w:val="99"/>
    <w:rsid w:val="00197F1B"/>
  </w:style>
  <w:style w:type="paragraph" w:styleId="BalloonText">
    <w:name w:val="Balloon Text"/>
    <w:basedOn w:val="Normal"/>
    <w:link w:val="BalloonTextChar"/>
    <w:uiPriority w:val="99"/>
    <w:semiHidden/>
    <w:unhideWhenUsed/>
    <w:rsid w:val="007C344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444"/>
    <w:rPr>
      <w:rFonts w:ascii="Segoe UI" w:hAnsi="Segoe UI" w:cs="Segoe UI"/>
      <w:sz w:val="18"/>
      <w:szCs w:val="18"/>
    </w:rPr>
  </w:style>
  <w:style w:type="paragraph" w:styleId="Revision">
    <w:name w:val="Revision"/>
    <w:hidden/>
    <w:uiPriority w:val="99"/>
    <w:semiHidden/>
    <w:rsid w:val="00CC58C8"/>
    <w:pPr>
      <w:spacing w:after="0" w:line="240" w:lineRule="auto"/>
    </w:pPr>
  </w:style>
  <w:style w:type="character" w:styleId="CommentReference">
    <w:name w:val="annotation reference"/>
    <w:basedOn w:val="DefaultParagraphFont"/>
    <w:uiPriority w:val="99"/>
    <w:semiHidden/>
    <w:unhideWhenUsed/>
    <w:rsid w:val="00C778D7"/>
    <w:rPr>
      <w:sz w:val="16"/>
      <w:szCs w:val="16"/>
    </w:rPr>
  </w:style>
  <w:style w:type="paragraph" w:styleId="CommentText">
    <w:name w:val="annotation text"/>
    <w:basedOn w:val="Normal"/>
    <w:link w:val="CommentTextChar"/>
    <w:uiPriority w:val="99"/>
    <w:unhideWhenUsed/>
    <w:rsid w:val="00C778D7"/>
    <w:pPr>
      <w:spacing w:line="240" w:lineRule="auto"/>
    </w:pPr>
    <w:rPr>
      <w:sz w:val="20"/>
      <w:szCs w:val="20"/>
    </w:rPr>
  </w:style>
  <w:style w:type="character" w:customStyle="1" w:styleId="CommentTextChar">
    <w:name w:val="Comment Text Char"/>
    <w:basedOn w:val="DefaultParagraphFont"/>
    <w:link w:val="CommentText"/>
    <w:uiPriority w:val="99"/>
    <w:rsid w:val="00C778D7"/>
    <w:rPr>
      <w:sz w:val="20"/>
      <w:szCs w:val="20"/>
    </w:rPr>
  </w:style>
  <w:style w:type="paragraph" w:styleId="CommentSubject">
    <w:name w:val="annotation subject"/>
    <w:basedOn w:val="CommentText"/>
    <w:next w:val="CommentText"/>
    <w:link w:val="CommentSubjectChar"/>
    <w:uiPriority w:val="99"/>
    <w:semiHidden/>
    <w:unhideWhenUsed/>
    <w:rsid w:val="00C778D7"/>
    <w:rPr>
      <w:b/>
      <w:bCs/>
    </w:rPr>
  </w:style>
  <w:style w:type="character" w:customStyle="1" w:styleId="CommentSubjectChar">
    <w:name w:val="Comment Subject Char"/>
    <w:basedOn w:val="CommentTextChar"/>
    <w:link w:val="CommentSubject"/>
    <w:uiPriority w:val="99"/>
    <w:semiHidden/>
    <w:rsid w:val="00C778D7"/>
    <w:rPr>
      <w:b/>
      <w:bCs/>
      <w:sz w:val="20"/>
      <w:szCs w:val="20"/>
    </w:rPr>
  </w:style>
  <w:style w:type="character" w:styleId="Mention">
    <w:name w:val="Mention"/>
    <w:basedOn w:val="DefaultParagraphFont"/>
    <w:uiPriority w:val="99"/>
    <w:unhideWhenUsed/>
    <w:rsid w:val="00973EB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8003268">
      <w:bodyDiv w:val="1"/>
      <w:marLeft w:val="0"/>
      <w:marRight w:val="0"/>
      <w:marTop w:val="0"/>
      <w:marBottom w:val="0"/>
      <w:divBdr>
        <w:top w:val="none" w:sz="0" w:space="0" w:color="auto"/>
        <w:left w:val="none" w:sz="0" w:space="0" w:color="auto"/>
        <w:bottom w:val="none" w:sz="0" w:space="0" w:color="auto"/>
        <w:right w:val="none" w:sz="0" w:space="0" w:color="auto"/>
      </w:divBdr>
    </w:div>
    <w:div w:id="1234582476">
      <w:bodyDiv w:val="1"/>
      <w:marLeft w:val="0"/>
      <w:marRight w:val="0"/>
      <w:marTop w:val="0"/>
      <w:marBottom w:val="0"/>
      <w:divBdr>
        <w:top w:val="none" w:sz="0" w:space="0" w:color="auto"/>
        <w:left w:val="none" w:sz="0" w:space="0" w:color="auto"/>
        <w:bottom w:val="none" w:sz="0" w:space="0" w:color="auto"/>
        <w:right w:val="none" w:sz="0" w:space="0" w:color="auto"/>
      </w:divBdr>
    </w:div>
    <w:div w:id="1405562805">
      <w:bodyDiv w:val="1"/>
      <w:marLeft w:val="0"/>
      <w:marRight w:val="0"/>
      <w:marTop w:val="0"/>
      <w:marBottom w:val="0"/>
      <w:divBdr>
        <w:top w:val="none" w:sz="0" w:space="0" w:color="auto"/>
        <w:left w:val="none" w:sz="0" w:space="0" w:color="auto"/>
        <w:bottom w:val="none" w:sz="0" w:space="0" w:color="auto"/>
        <w:right w:val="none" w:sz="0" w:space="0" w:color="auto"/>
      </w:divBdr>
    </w:div>
    <w:div w:id="1684163593">
      <w:bodyDiv w:val="1"/>
      <w:marLeft w:val="0"/>
      <w:marRight w:val="0"/>
      <w:marTop w:val="0"/>
      <w:marBottom w:val="0"/>
      <w:divBdr>
        <w:top w:val="none" w:sz="0" w:space="0" w:color="auto"/>
        <w:left w:val="none" w:sz="0" w:space="0" w:color="auto"/>
        <w:bottom w:val="none" w:sz="0" w:space="0" w:color="auto"/>
        <w:right w:val="none" w:sz="0" w:space="0" w:color="auto"/>
      </w:divBdr>
    </w:div>
    <w:div w:id="1703506968">
      <w:bodyDiv w:val="1"/>
      <w:marLeft w:val="0"/>
      <w:marRight w:val="0"/>
      <w:marTop w:val="0"/>
      <w:marBottom w:val="0"/>
      <w:divBdr>
        <w:top w:val="none" w:sz="0" w:space="0" w:color="auto"/>
        <w:left w:val="none" w:sz="0" w:space="0" w:color="auto"/>
        <w:bottom w:val="none" w:sz="0" w:space="0" w:color="auto"/>
        <w:right w:val="none" w:sz="0" w:space="0" w:color="auto"/>
      </w:divBdr>
    </w:div>
    <w:div w:id="2050909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documenttasks/documenttasks1.xml><?xml version="1.0" encoding="utf-8"?>
<t:Tasks xmlns:t="http://schemas.microsoft.com/office/tasks/2019/documenttasks" xmlns:oel="http://schemas.microsoft.com/office/2019/extlst">
  <t:Task id="{7AD74759-ABF5-43E3-B1FF-F8967034B36D}">
    <t:Anchor>
      <t:Comment id="684009932"/>
    </t:Anchor>
    <t:History>
      <t:Event id="{BD3B618A-CF4F-4A01-A1CF-A015B2D7FB4E}" time="2026-06-05T14:08:23.448Z">
        <t:Attribution userId="S::migle.sejone@ltgkc.lt::5aa0399b-7a24-42c4-a0ea-3232c184dfb3" userProvider="AD" userName="Miglė Sejonė"/>
        <t:Anchor>
          <t:Comment id="112404921"/>
        </t:Anchor>
        <t:Create/>
      </t:Event>
      <t:Event id="{E45DC5A9-1791-4173-B824-860BE446A367}" time="2026-06-05T14:08:23.448Z">
        <t:Attribution userId="S::migle.sejone@ltgkc.lt::5aa0399b-7a24-42c4-a0ea-3232c184dfb3" userProvider="AD" userName="Miglė Sejonė"/>
        <t:Anchor>
          <t:Comment id="112404921"/>
        </t:Anchor>
        <t:Assign userId="S::p.gavelis@ltgkc.lt::180bd33d-e2d9-4127-8581-146995217903" userProvider="AD" userName="Paulius Gavelis"/>
      </t:Event>
      <t:Event id="{96CD3714-4D8A-47F0-B5B1-DEF117823319}" time="2026-06-05T14:08:23.448Z">
        <t:Attribution userId="S::migle.sejone@ltgkc.lt::5aa0399b-7a24-42c4-a0ea-3232c184dfb3" userProvider="AD" userName="Miglė Sejonė"/>
        <t:Anchor>
          <t:Comment id="112404921"/>
        </t:Anchor>
        <t:SetTitle title="@Paulius Gavelis Ar tiktų toks aprašymas? Vertinimo kriterijus taikomas tik kapitalinio remonto (KR) paslaugų papildomam garantiniam terminui. Tai atitinka Techninę specifikaciją, kurioje nustatytas privalomas 24 mėn. garantinis terminas KR paslaugoms ir…"/>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EAED2426CF1C04DACF68B567EC7C863" ma:contentTypeVersion="3" ma:contentTypeDescription="Kurkite naują dokumentą." ma:contentTypeScope="" ma:versionID="9d030502a94b027629f59da81f4b3e7f">
  <xsd:schema xmlns:xsd="http://www.w3.org/2001/XMLSchema" xmlns:xs="http://www.w3.org/2001/XMLSchema" xmlns:p="http://schemas.microsoft.com/office/2006/metadata/properties" xmlns:ns2="907d9fee-c662-444d-b022-db022b9c282e" targetNamespace="http://schemas.microsoft.com/office/2006/metadata/properties" ma:root="true" ma:fieldsID="46077e211516b47d7ae79fd676b73337" ns2:_="">
    <xsd:import namespace="907d9fee-c662-444d-b022-db022b9c282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7d9fee-c662-444d-b022-db022b9c28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491B18-BC9D-42EC-8002-C1A5AF14D4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7d9fee-c662-444d-b022-db022b9c28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78E331-F328-4AFF-B660-BA3691668F6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54FABCB-7342-4B7B-9198-B67537339708}">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4</TotalTime>
  <Pages>2</Pages>
  <Words>2884</Words>
  <Characters>1645</Characters>
  <Application>Microsoft Office Word</Application>
  <DocSecurity>0</DocSecurity>
  <Lines>13</Lines>
  <Paragraphs>9</Paragraphs>
  <ScaleCrop>false</ScaleCrop>
  <Company>UAB TIC</Company>
  <LinksUpToDate>false</LinksUpToDate>
  <CharactersWithSpaces>4520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Brazauskienė</dc:creator>
  <cp:keywords/>
  <dc:description>Versija 5 (20191015)</dc:description>
  <cp:lastModifiedBy>Miglė Sejonė</cp:lastModifiedBy>
  <cp:revision>165</cp:revision>
  <dcterms:created xsi:type="dcterms:W3CDTF">2023-01-02T12:58:00Z</dcterms:created>
  <dcterms:modified xsi:type="dcterms:W3CDTF">2026-06-11T12:48:00Z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Zivile.Kasparaviciene@le.lt</vt:lpwstr>
  </property>
  <property fmtid="{D5CDD505-2E9C-101B-9397-08002B2CF9AE}" pid="5" name="MSIP_Label_320c693d-44b7-4e16-b3dd-4fcd87401cf5_SetDate">
    <vt:lpwstr>2019-06-11T07:19:21.2492494Z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f01ab589-3d03-4a47-8f50-da3e645bfe7d</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iteId">
    <vt:lpwstr>ea88e983-d65a-47b3-adb4-3e1c6d2110d2</vt:lpwstr>
  </property>
  <property fmtid="{D5CDD505-2E9C-101B-9397-08002B2CF9AE}" pid="12" name="MSIP_Label_190751af-2442-49a7-b7b9-9f0bcce858c9_Owner">
    <vt:lpwstr>Zivile.Kasparaviciene@le.lt</vt:lpwstr>
  </property>
  <property fmtid="{D5CDD505-2E9C-101B-9397-08002B2CF9AE}" pid="13" name="MSIP_Label_190751af-2442-49a7-b7b9-9f0bcce858c9_SetDate">
    <vt:lpwstr>2019-06-11T07:19:21.2492494Z</vt:lpwstr>
  </property>
  <property fmtid="{D5CDD505-2E9C-101B-9397-08002B2CF9AE}" pid="14" name="MSIP_Label_190751af-2442-49a7-b7b9-9f0bcce858c9_Name">
    <vt:lpwstr>Be žymos</vt:lpwstr>
  </property>
  <property fmtid="{D5CDD505-2E9C-101B-9397-08002B2CF9AE}" pid="15" name="MSIP_Label_190751af-2442-49a7-b7b9-9f0bcce858c9_Application">
    <vt:lpwstr>Microsoft Azure Information Protection</vt:lpwstr>
  </property>
  <property fmtid="{D5CDD505-2E9C-101B-9397-08002B2CF9AE}" pid="16" name="MSIP_Label_190751af-2442-49a7-b7b9-9f0bcce858c9_ActionId">
    <vt:lpwstr>f01ab589-3d03-4a47-8f50-da3e645bfe7d</vt:lpwstr>
  </property>
  <property fmtid="{D5CDD505-2E9C-101B-9397-08002B2CF9AE}" pid="17" name="MSIP_Label_190751af-2442-49a7-b7b9-9f0bcce858c9_Parent">
    <vt:lpwstr>320c693d-44b7-4e16-b3dd-4fcd87401cf5</vt:lpwstr>
  </property>
  <property fmtid="{D5CDD505-2E9C-101B-9397-08002B2CF9AE}" pid="18" name="MSIP_Label_190751af-2442-49a7-b7b9-9f0bcce858c9_Extended_MSFT_Method">
    <vt:lpwstr>Manual</vt:lpwstr>
  </property>
  <property fmtid="{D5CDD505-2E9C-101B-9397-08002B2CF9AE}" pid="19" name="MSIP_Label_cfcb905c-755b-4fd4-bd20-0d682d4f1d27_Enabled">
    <vt:lpwstr>true</vt:lpwstr>
  </property>
  <property fmtid="{D5CDD505-2E9C-101B-9397-08002B2CF9AE}" pid="20" name="MSIP_Label_cfcb905c-755b-4fd4-bd20-0d682d4f1d27_SetDate">
    <vt:lpwstr>2023-01-02T12:56:51Z</vt:lpwstr>
  </property>
  <property fmtid="{D5CDD505-2E9C-101B-9397-08002B2CF9AE}" pid="21" name="MSIP_Label_cfcb905c-755b-4fd4-bd20-0d682d4f1d27_Method">
    <vt:lpwstr>Standard</vt:lpwstr>
  </property>
  <property fmtid="{D5CDD505-2E9C-101B-9397-08002B2CF9AE}" pid="22" name="MSIP_Label_cfcb905c-755b-4fd4-bd20-0d682d4f1d27_Name">
    <vt:lpwstr>Internal</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ActionId">
    <vt:lpwstr>58aa249c-0b68-4a7a-be0c-1c9fbc8a58f3</vt:lpwstr>
  </property>
  <property fmtid="{D5CDD505-2E9C-101B-9397-08002B2CF9AE}" pid="25" name="MSIP_Label_cfcb905c-755b-4fd4-bd20-0d682d4f1d27_ContentBits">
    <vt:lpwstr>0</vt:lpwstr>
  </property>
  <property fmtid="{D5CDD505-2E9C-101B-9397-08002B2CF9AE}" pid="26" name="ContentTypeId">
    <vt:lpwstr>0x0101008EAED2426CF1C04DACF68B567EC7C863</vt:lpwstr>
  </property>
  <property fmtid="{D5CDD505-2E9C-101B-9397-08002B2CF9AE}" pid="27" name="MediaServiceImageTags">
    <vt:lpwstr/>
  </property>
  <property fmtid="{D5CDD505-2E9C-101B-9397-08002B2CF9AE}" pid="28" name="_dlc_DocIdItemGuid">
    <vt:lpwstr>7827f616-b7b5-4ebf-8092-8b41872da1c8</vt:lpwstr>
  </property>
  <property fmtid="{D5CDD505-2E9C-101B-9397-08002B2CF9AE}" pid="29" name="Order">
    <vt:r8>216067600</vt:r8>
  </property>
  <property fmtid="{D5CDD505-2E9C-101B-9397-08002B2CF9AE}" pid="30" name="xd_Signature">
    <vt:bool>false</vt:bool>
  </property>
  <property fmtid="{D5CDD505-2E9C-101B-9397-08002B2CF9AE}" pid="31" name="xd_ProgID">
    <vt:lpwstr/>
  </property>
  <property fmtid="{D5CDD505-2E9C-101B-9397-08002B2CF9AE}" pid="32" name="_dlc_DocId">
    <vt:lpwstr>VWCZ4TY2TVRH-535898010-2160676</vt:lpwstr>
  </property>
  <property fmtid="{D5CDD505-2E9C-101B-9397-08002B2CF9AE}" pid="33" name="ComplianceAssetId">
    <vt:lpwstr/>
  </property>
  <property fmtid="{D5CDD505-2E9C-101B-9397-08002B2CF9AE}" pid="34" name="TemplateUrl">
    <vt:lpwstr/>
  </property>
  <property fmtid="{D5CDD505-2E9C-101B-9397-08002B2CF9AE}" pid="35" name="_ExtendedDescription">
    <vt:lpwstr/>
  </property>
  <property fmtid="{D5CDD505-2E9C-101B-9397-08002B2CF9AE}" pid="36" name="TriggerFlowInfo">
    <vt:lpwstr/>
  </property>
  <property fmtid="{D5CDD505-2E9C-101B-9397-08002B2CF9AE}" pid="37" name="_dlc_DocIdUrl">
    <vt:lpwstr>https://lglt.sharepoint.com/sites/files/_layouts/15/DocIdRedir.aspx?ID=VWCZ4TY2TVRH-535898010-2160676, VWCZ4TY2TVRH-535898010-2160676</vt:lpwstr>
  </property>
</Properties>
</file>